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Dynamics</w:t>
      </w:r>
      <w:r>
        <w:t xml:space="preserve"> </w:t>
      </w:r>
      <w:r>
        <w:t xml:space="preserve">and</w:t>
      </w:r>
      <w:r>
        <w:t xml:space="preserve"> </w:t>
      </w:r>
      <w:r>
        <w:t xml:space="preserve">Public</w:t>
      </w:r>
      <w:r>
        <w:t xml:space="preserve"> </w:t>
      </w:r>
      <w:r>
        <w:t xml:space="preserve">Service</w:t>
      </w:r>
      <w:r>
        <w:t xml:space="preserve"> </w:t>
      </w:r>
      <w:r>
        <w:t xml:space="preserve">in</w:t>
      </w:r>
      <w:r>
        <w:t xml:space="preserve"> </w:t>
      </w:r>
      <w:r>
        <w:t xml:space="preserve">Uganda</w:t>
      </w:r>
      <w:r>
        <w:t xml:space="preserve"> </w:t>
      </w:r>
      <w:r>
        <w:t xml:space="preserve">Kampala</w:t>
      </w:r>
    </w:p>
    <w:bookmarkStart w:id="30" w:name="Xb520e314a67ddc93c2d88d40e002a4ae5ca0c70"/>
    <w:p>
      <w:pPr>
        <w:pStyle w:val="Heading1"/>
      </w:pPr>
      <w:r>
        <w:t xml:space="preserve">Case Study: Navigating Complexity in the Heart of East Africa</w:t>
      </w:r>
    </w:p>
    <w:p>
      <w:pPr>
        <w:pStyle w:val="FirstParagraph"/>
      </w:pPr>
      <w:r>
        <w:rPr>
          <w:bCs/>
          <w:b/>
        </w:rPr>
        <w:t xml:space="preserve">Title:</w:t>
      </w:r>
      <w:r>
        <w:t xml:space="preserve"> </w:t>
      </w:r>
      <w:r>
        <w:t xml:space="preserve">Governance, Grassroots Engagement, and Electoral Strategy: A Comprehensive Analysis of a Modern Politician in Uganda Kampala.</w:t>
      </w:r>
    </w:p>
    <w:bookmarkStart w:id="20" w:name="executive-summary"/>
    <w:p>
      <w:pPr>
        <w:pStyle w:val="Heading2"/>
      </w:pPr>
      <w:r>
        <w:t xml:space="preserve">1. Executive Summary</w:t>
      </w:r>
    </w:p>
    <w:p>
      <w:pPr>
        <w:pStyle w:val="FirstParagraph"/>
      </w:pPr>
      <w:r>
        <w:t xml:space="preserve">This Case Study examines the intricate ecosystem of political engagement within Uganda Kampala, focusing on the multifaceted role of a contemporary politician. As the capital city and political hub of Uganda, Kampala serves as a microcosm for national trends while maintaining unique local challenges. This document analyzes how a dedicated politician navigates the delicate balance between constituency service, party loyalty, and personal integrity in one of Africa's most vibrant democratic landscapes. The study highlights critical aspects of leadership style, community interaction with the urban populace, and strategic decision-making processes required to remain effective and accountable.</w:t>
      </w:r>
    </w:p>
    <w:bookmarkEnd w:id="20"/>
    <w:bookmarkStart w:id="21" w:name="X72959a53d265ec0e6f88d6237279b1662264328"/>
    <w:p>
      <w:pPr>
        <w:pStyle w:val="Heading2"/>
      </w:pPr>
      <w:r>
        <w:t xml:space="preserve">2. Contextual Background: The Kampala Environment</w:t>
      </w:r>
    </w:p>
    <w:p>
      <w:pPr>
        <w:pStyle w:val="FirstParagraph"/>
      </w:pPr>
      <w:r>
        <w:t xml:space="preserve">To understand the role of a politician in Uganda Kampala, one must first appreciate the unique socio-economic fabric of the city. Unlike rural constituencies where issues are predominantly agricultural or resource-based, political discourse in Uganda Kampala revolves around urbanization, infrastructure development, public health services (such as Mulago Hospital access), and economic opportunities for youth. The city is densely populated and culturally diverse.</w:t>
      </w:r>
    </w:p>
    <w:p>
      <w:pPr>
        <w:pStyle w:val="BodyText"/>
      </w:pPr>
      <w:r>
        <w:t xml:space="preserve">The political landscape in Uganda Kampala is highly competitive. It serves as a bellwether for national sentiment. Therefore, a politician operating here cannot rely solely on traditional patronage systems; they must demonstrate tangible results in service delivery to maintain relevance. The "Politician" in this context is not merely an elected official but a community mobilizer, a policy advocate, and often the primary point of contact between citizens and state institutions.</w:t>
      </w:r>
    </w:p>
    <w:bookmarkEnd w:id="21"/>
    <w:bookmarkStart w:id="22" w:name="profile-of-the-subject"/>
    <w:p>
      <w:pPr>
        <w:pStyle w:val="Heading2"/>
      </w:pPr>
      <w:r>
        <w:t xml:space="preserve">3. Profile of the Subject</w:t>
      </w:r>
    </w:p>
    <w:p>
      <w:pPr>
        <w:pStyle w:val="FirstParagraph"/>
      </w:pPr>
      <w:r>
        <w:t xml:space="preserve">The subject of this Case Study is "Candidate A," a fictionalized composite based on real-world trends observed in recent electoral cycles within Uganda Kampala. Candidate A represents a middle-income ward in central Kampala, an area characterized by bustling markets like Nakasero, residential complexes, and significant government office space. The profile includes:</w:t>
      </w:r>
    </w:p>
    <w:p>
      <w:pPr>
        <w:numPr>
          <w:ilvl w:val="0"/>
          <w:numId w:val="1001"/>
        </w:numPr>
        <w:pStyle w:val="Compact"/>
      </w:pPr>
      <w:r>
        <w:rPr>
          <w:bCs/>
          <w:b/>
        </w:rPr>
        <w:t xml:space="preserve">Demographic Focus:</w:t>
      </w:r>
      <w:r>
        <w:t xml:space="preserve"> </w:t>
      </w:r>
      <w:r>
        <w:t xml:space="preserve">Engaging both the elderly demographic reliant on social welfare and the vibrant youth population seeking employment.</w:t>
      </w:r>
    </w:p>
    <w:p>
      <w:pPr>
        <w:numPr>
          <w:ilvl w:val="0"/>
          <w:numId w:val="1001"/>
        </w:numPr>
        <w:pStyle w:val="Compact"/>
      </w:pPr>
      <w:r>
        <w:rPr>
          <w:bCs/>
          <w:b/>
        </w:rPr>
        <w:t xml:space="preserve">Prior Experience:</w:t>
      </w:r>
      <w:r>
        <w:t xml:space="preserve"> </w:t>
      </w:r>
      <w:r>
        <w:t xml:space="preserve">Background in civil society organization, providing a foundation in advocacy rather than just administration.</w:t>
      </w:r>
    </w:p>
    <w:p>
      <w:pPr>
        <w:numPr>
          <w:ilvl w:val="0"/>
          <w:numId w:val="1001"/>
        </w:numPr>
        <w:pStyle w:val="Compact"/>
      </w:pPr>
      <w:r>
        <w:rPr>
          <w:bCs/>
          <w:b/>
        </w:rPr>
        <w:t xml:space="preserve">Challenges:</w:t>
      </w:r>
    </w:p>
    <w:p>
      <w:pPr>
        <w:numPr>
          <w:ilvl w:val="0"/>
          <w:numId w:val="1000"/>
        </w:numPr>
        <w:pStyle w:val="Compact"/>
      </w:pPr>
      <w:r>
        <w:t xml:space="preserve">The challenge of informal settlements within urban wards, traffic congestion, waste management crises, and the need for transparent allocation of municipal funds.</w:t>
      </w:r>
    </w:p>
    <w:bookmarkEnd w:id="22"/>
    <w:bookmarkStart w:id="25" w:name="strategic-engagement-methodologies"/>
    <w:p>
      <w:pPr>
        <w:pStyle w:val="Heading2"/>
      </w:pPr>
      <w:r>
        <w:t xml:space="preserve">4. Strategic Engagement Methodologies</w:t>
      </w:r>
    </w:p>
    <w:p>
      <w:pPr>
        <w:pStyle w:val="FirstParagraph"/>
      </w:pPr>
      <w:r>
        <w:t xml:space="preserve">In Uganda Kampala, traditional town halls are often insufficient due to space constraints and security concerns. Consequently, Candidate A adopted a hybrid engagement strategy combining digital outreach with hyper-local physical presence.</w:t>
      </w:r>
    </w:p>
    <w:bookmarkStart w:id="23" w:name="digital-advocacy"/>
    <w:p>
      <w:pPr>
        <w:pStyle w:val="Heading3"/>
      </w:pPr>
      <w:r>
        <w:t xml:space="preserve">4.1 Digital Advocacy</w:t>
      </w:r>
    </w:p>
    <w:p>
      <w:pPr>
        <w:pStyle w:val="FirstParagraph"/>
      </w:pPr>
      <w:r>
        <w:t xml:space="preserve">Social media platforms such as Facebook, X (formerly Twitter), and WhatsApp groups are pivotal in Kampala. The politician utilizes these platforms not just for campaigning, but for real-time governance updates. By creating transparent channels where constituents can report issues like blocked drainage or streetlights out of order, the Politician builds a database of needs that informs legislative priorities.</w:t>
      </w:r>
    </w:p>
    <w:bookmarkEnd w:id="23"/>
    <w:bookmarkStart w:id="24" w:name="market-and-business-council-engagement"/>
    <w:p>
      <w:pPr>
        <w:pStyle w:val="Heading3"/>
      </w:pPr>
      <w:r>
        <w:t xml:space="preserve">4.2 Market and Business Council Engagement</w:t>
      </w:r>
    </w:p>
    <w:p>
      <w:pPr>
        <w:pStyle w:val="FirstParagraph"/>
      </w:pPr>
      <w:r>
        <w:t xml:space="preserve">A significant portion of the electorate in Uganda Kampala is engaged in informal trade. The Case Study highlights how engagement with Market Chairpersons and Local Council (LC1) leaders is critical. Unlike rural chiefs, these market leaders wield significant influence over voting blocs within urban wards. The Politician’s approach involved regular consultation rather than imposition, fostering a sense of partnership.</w:t>
      </w:r>
    </w:p>
    <w:bookmarkEnd w:id="24"/>
    <w:bookmarkEnd w:id="25"/>
    <w:bookmarkStart w:id="26" w:name="key-challenges-encountered"/>
    <w:p>
      <w:pPr>
        <w:pStyle w:val="Heading2"/>
      </w:pPr>
      <w:r>
        <w:t xml:space="preserve">5. Key Challenges Encountered</w:t>
      </w:r>
    </w:p>
    <w:p>
      <w:pPr>
        <w:pStyle w:val="FirstParagraph"/>
      </w:pPr>
      <w:r>
        <w:t xml:space="preserve">The journey of any politician in this region is fraught with systemic hurdles:</w:t>
      </w:r>
    </w:p>
    <w:p>
      <w:pPr>
        <w:numPr>
          <w:ilvl w:val="0"/>
          <w:numId w:val="1002"/>
        </w:numPr>
        <w:pStyle w:val="Compact"/>
      </w:pPr>
      <w:r>
        <w:rPr>
          <w:bCs/>
          <w:b/>
        </w:rPr>
        <w:t xml:space="preserve">Bureaucratic Bottlenecks:</w:t>
      </w:r>
    </w:p>
    <w:p>
      <w:pPr>
        <w:numPr>
          <w:ilvl w:val="0"/>
          <w:numId w:val="1000"/>
        </w:numPr>
        <w:pStyle w:val="Compact"/>
      </w:pPr>
      <w:r>
        <w:t xml:space="preserve">Making changes in urban planning or service delivery often requires navigating multiple layers of government, from the City Council to Ministry level. This Case Study documents instances where delays in project implementation tested constituent patience.</w:t>
      </w:r>
    </w:p>
    <w:p>
      <w:pPr>
        <w:numPr>
          <w:ilvl w:val="0"/>
          <w:numId w:val="1002"/>
        </w:numPr>
        <w:pStyle w:val="Compact"/>
      </w:pPr>
      <w:r>
        <w:rPr>
          <w:bCs/>
          <w:b/>
        </w:rPr>
        <w:t xml:space="preserve">Polarization and Party Dynamics:</w:t>
      </w:r>
    </w:p>
    <w:p>
      <w:pPr>
        <w:numPr>
          <w:ilvl w:val="0"/>
          <w:numId w:val="1000"/>
        </w:numPr>
        <w:pStyle w:val="Compact"/>
      </w:pPr>
      <w:r>
        <w:t xml:space="preserve">The politician must maintain loyalty to their national party while addressing local grievances that may contradict central government narratives. Balancing this duality requires high emotional intelligence and diplomatic skill.</w:t>
      </w:r>
    </w:p>
    <w:p>
      <w:pPr>
        <w:numPr>
          <w:ilvl w:val="0"/>
          <w:numId w:val="1002"/>
        </w:numPr>
        <w:pStyle w:val="Compact"/>
      </w:pPr>
      <w:r>
        <w:rPr>
          <w:bCs/>
          <w:b/>
        </w:rPr>
        <w:t xml:space="preserve">Socio-Economic Inequality:</w:t>
      </w:r>
    </w:p>
    <w:p>
      <w:pPr>
        <w:numPr>
          <w:ilvl w:val="0"/>
          <w:numId w:val="1000"/>
        </w:numPr>
        <w:pStyle w:val="Compact"/>
      </w:pPr>
      <w:r>
        <w:t xml:space="preserve">Kampala exhibits stark wealth disparity. The Politician faces the difficult task of ensuring equitable development, avoiding the perception of favoring affluent neighborhoods while neglecting low-income areas like Bwaise or Katwe.</w:t>
      </w:r>
    </w:p>
    <w:bookmarkEnd w:id="26"/>
    <w:bookmarkStart w:id="27" w:name="outcomes-and-impact-analysis"/>
    <w:p>
      <w:pPr>
        <w:pStyle w:val="Heading2"/>
      </w:pPr>
      <w:r>
        <w:t xml:space="preserve">6. Outcomes and Impact Analysis</w:t>
      </w:r>
    </w:p>
    <w:p>
      <w:pPr>
        <w:pStyle w:val="FirstParagraph"/>
      </w:pPr>
      <w:r>
        <w:t xml:space="preserve">After a defined period of tenure, several key outcomes were observed in the case study:</w:t>
      </w:r>
    </w:p>
    <w:p>
      <w:pPr>
        <w:numPr>
          <w:ilvl w:val="0"/>
          <w:numId w:val="1003"/>
        </w:numPr>
        <w:pStyle w:val="Compact"/>
      </w:pPr>
      <w:r>
        <w:rPr>
          <w:bCs/>
          <w:b/>
        </w:rPr>
        <w:t xml:space="preserve">Civic Participation:</w:t>
      </w:r>
    </w:p>
    <w:p>
      <w:pPr>
        <w:numPr>
          <w:ilvl w:val="0"/>
          <w:numId w:val="1000"/>
        </w:numPr>
        <w:pStyle w:val="Compact"/>
      </w:pPr>
      <w:r>
        <w:t xml:space="preserve">Data showed a 30% increase in youth attendance at community forums compared to previous years. This indicates a successful shift from apathy to active civic engagement.</w:t>
      </w:r>
    </w:p>
    <w:p>
      <w:pPr>
        <w:numPr>
          <w:ilvl w:val="0"/>
          <w:numId w:val="1003"/>
        </w:numPr>
        <w:pStyle w:val="Compact"/>
      </w:pPr>
      <w:r>
        <w:rPr>
          <w:bCs/>
          <w:b/>
        </w:rPr>
        <w:t xml:space="preserve">Tangible Service Delivery:</w:t>
      </w:r>
    </w:p>
    <w:p>
      <w:pPr>
        <w:numPr>
          <w:ilvl w:val="0"/>
          <w:numId w:val="1000"/>
        </w:numPr>
        <w:pStyle w:val="Compact"/>
      </w:pPr>
      <w:r>
        <w:t xml:space="preserve">The implementation of two waste management initiatives, driven by constituent pressure, reduced local pollution levels. This success story became a cornerstone of the Politician's re-election narrative.</w:t>
      </w:r>
    </w:p>
    <w:p>
      <w:pPr>
        <w:numPr>
          <w:ilvl w:val="0"/>
          <w:numId w:val="1003"/>
        </w:numPr>
        <w:pStyle w:val="Compact"/>
      </w:pPr>
      <w:r>
        <w:rPr>
          <w:bCs/>
          <w:b/>
        </w:rPr>
        <w:t xml:space="preserve">Trust Metrics:</w:t>
      </w:r>
    </w:p>
    <w:p>
      <w:pPr>
        <w:numPr>
          <w:ilvl w:val="0"/>
          <w:numId w:val="1000"/>
        </w:numPr>
        <w:pStyle w:val="Compact"/>
      </w:pPr>
      <w:r>
        <w:t xml:space="preserve">Surveys conducted in Uganda Kampala indicated that trust in the individual representative remained high, even amidst broader dissatisfaction with national governance. This highlights the importance of localized accountability over general political affiliation.</w:t>
      </w:r>
    </w:p>
    <w:bookmarkEnd w:id="27"/>
    <w:bookmarkStart w:id="28" w:name="Xa6b90e2eefeee284c909866060bc78a4f1cc51d"/>
    <w:p>
      <w:pPr>
        <w:pStyle w:val="Heading2"/>
      </w:pPr>
      <w:r>
        <w:t xml:space="preserve">7. Lessons Learned and Future Recommendations</w:t>
      </w:r>
    </w:p>
    <w:p>
      <w:pPr>
        <w:pStyle w:val="FirstParagraph"/>
      </w:pPr>
      <w:r>
        <w:t xml:space="preserve">This Case Study offers several lessons for aspiring politicians and civic organizations:</w:t>
      </w:r>
    </w:p>
    <w:p>
      <w:pPr>
        <w:numPr>
          <w:ilvl w:val="0"/>
          <w:numId w:val="1004"/>
        </w:numPr>
        <w:pStyle w:val="Compact"/>
      </w:pPr>
      <w:r>
        <w:rPr>
          <w:bCs/>
          <w:b/>
        </w:rPr>
        <w:t xml:space="preserve">Data-Driven Governance:</w:t>
      </w:r>
    </w:p>
    <w:p>
      <w:pPr>
        <w:numPr>
          <w:ilvl w:val="0"/>
          <w:numId w:val="1000"/>
        </w:numPr>
        <w:pStyle w:val="Compact"/>
      </w:pPr>
      <w:r>
        <w:t xml:space="preserve">In a dense urban environment like Uganda Kampala, intuition is less effective than data. Politicians must utilize GIS mapping and demographic data to allocate resources efficiently.</w:t>
      </w:r>
    </w:p>
    <w:p>
      <w:pPr>
        <w:numPr>
          <w:ilvl w:val="0"/>
          <w:numId w:val="1004"/>
        </w:numPr>
        <w:pStyle w:val="Compact"/>
      </w:pPr>
      <w:r>
        <w:rPr>
          <w:bCs/>
          <w:b/>
        </w:rPr>
        <w:t xml:space="preserve">Youth Inclusion is Non-Negotiable:</w:t>
      </w:r>
    </w:p>
    <w:p>
      <w:pPr>
        <w:numPr>
          <w:ilvl w:val="0"/>
          <w:numId w:val="1000"/>
        </w:numPr>
        <w:pStyle w:val="Compact"/>
      </w:pPr>
      <w:r>
        <w:t xml:space="preserve">With Uganda's population being predominantly young, excluding youth voices leads to political instability. Integration of digital tools helps bridge the gap between older traditional structures and the younger generation.</w:t>
      </w:r>
    </w:p>
    <w:p>
      <w:pPr>
        <w:numPr>
          <w:ilvl w:val="0"/>
          <w:numId w:val="1004"/>
        </w:numPr>
        <w:pStyle w:val="Compact"/>
      </w:pPr>
      <w:r>
        <w:rPr>
          <w:bCs/>
          <w:b/>
        </w:rPr>
        <w:t xml:space="preserve">Transparency as Currency:</w:t>
      </w:r>
    </w:p>
    <w:p>
      <w:pPr>
        <w:numPr>
          <w:ilvl w:val="0"/>
          <w:numId w:val="1000"/>
        </w:numPr>
        <w:pStyle w:val="Compact"/>
      </w:pPr>
      <w:r>
        <w:t xml:space="preserve">In an era of rapid information flow, opacity is fatal. Regular financial reporting and open decision-making processes are essential for maintaining legitimacy in Uganda Kampala's competitive political arena.</w:t>
      </w:r>
    </w:p>
    <w:bookmarkEnd w:id="28"/>
    <w:bookmarkStart w:id="29" w:name="conclusion"/>
    <w:p>
      <w:pPr>
        <w:pStyle w:val="Heading2"/>
      </w:pPr>
      <w:r>
        <w:t xml:space="preserve">8. Conclusion</w:t>
      </w:r>
    </w:p>
    <w:p>
      <w:pPr>
        <w:pStyle w:val="FirstParagraph"/>
      </w:pPr>
      <w:r>
        <w:t xml:space="preserve">The role of the Politician in Uganda Kampala is evolving from a figurehead of patronage to an agent of development and accountability. This Case Study demonstrates that success in this environment requires more than just political will; it demands strategic innovation, deep community integration, and an unwavering commitment to the specific needs of urban residents. As Uganda continues on its democratic journey, the lessons derived from political engagement in its capital city will serve as a blueprint for effective governance across the nation. The dynamics observed here underscore that when a politician aligns their actions with the immediate realities of Kampala's diverse populace, they can foster resilience, trust, and sustainable progress.</w:t>
      </w:r>
    </w:p>
    <w:p>
      <w:pPr>
        <w:pStyle w:val="BodyText"/>
      </w:pPr>
      <w:r>
        <w:rPr>
          <w:bCs/>
          <w:b/>
        </w:rPr>
        <w:t xml:space="preserve">Note:</w:t>
      </w:r>
      <w:r>
        <w:t xml:space="preserve"> </w:t>
      </w:r>
      <w:r>
        <w:t xml:space="preserve">This document serves as an analytical framework for understanding political behavior in Uganda Kampala. It emphasizes the importance of adapting strategies to local contexts while maintaining broader national coherence.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Dynamics and Public Service in Uganda Kampala</dc:title>
  <dc:creator/>
  <dc:language>en</dc:language>
  <cp:keywords/>
  <dcterms:created xsi:type="dcterms:W3CDTF">2026-07-29T07:37:23Z</dcterms:created>
  <dcterms:modified xsi:type="dcterms:W3CDTF">2026-07-29T07:37:23Z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