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30" w:name="X503946b1ad884cc516b20e8a8e3ab9f26abea5f"/>
    <w:p>
      <w:pPr>
        <w:pStyle w:val="Heading1"/>
      </w:pPr>
      <w:r>
        <w:t xml:space="preserve">The Strategic and Academic Imperative of a Professor in Belgium Brussels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University Administration &amp; Stakeholders</w:t>
      </w:r>
      <w:r>
        <w:br/>
      </w:r>
    </w:p>
    <w:p>
      <w:pPr>
        <w:pStyle w:val="BodyText"/>
      </w:pPr>
      <w:r>
        <w:t xml:space="preserve">Hr Strategy Department</w:t>
      </w:r>
      <w:r>
        <w:br/>
      </w:r>
    </w:p>
    <w:p>
      <w:pPr>
        <w:pStyle w:val="BodyText"/>
      </w:pPr>
      <w:r>
        <w:t xml:space="preserve">Subject: Comprehensive Case Study on the Integration and Impact of a Professor within the European Capital</w:t>
      </w:r>
    </w:p>
    <w:p>
      <w:pPr>
        <w:pStyle w:val="BodyText"/>
      </w:pPr>
      <w:r>
        <w:t xml:space="preserve">This document serves as an in-depth case study analyzing the multifaceted role of a</w:t>
      </w:r>
      <w:r>
        <w:t xml:space="preserve"> </w:t>
      </w:r>
      <w:r>
        <w:t xml:space="preserve">Professor</w:t>
      </w:r>
      <w:r>
        <w:t xml:space="preserve"> </w:t>
      </w:r>
      <w:r>
        <w:t xml:space="preserve">within the unique academic and geopolitical ecosystem of</w:t>
      </w:r>
      <w:r>
        <w:t xml:space="preserve"> </w:t>
      </w:r>
      <w:r>
        <w:t xml:space="preserve">Belgium Brussels</w:t>
      </w:r>
      <w:r>
        <w:t xml:space="preserve">. As the capital city of both Belgium and de facto capital of the European Union, Brussels presents a distinct environment for higher education. This case study explores how an academic leader operates at this intersection, balancing rigorous scholarly demands with significant policy influence.</w:t>
      </w:r>
    </w:p>
    <w:bookmarkStart w:id="20" w:name="Xf8a2dca0974f13bd2a4a9cdcec39b3e00a28546"/>
    <w:p>
      <w:pPr>
        <w:pStyle w:val="Heading2"/>
      </w:pPr>
      <w:r>
        <w:t xml:space="preserve">1. Introduction to the Context: Belgium Brussels</w:t>
      </w:r>
    </w:p>
    <w:p>
      <w:pPr>
        <w:pStyle w:val="FirstParagraph"/>
      </w:pPr>
      <w:r>
        <w:t xml:space="preserve">Belgium Brussels</w:t>
      </w:r>
      <w:r>
        <w:t xml:space="preserve"> </w:t>
      </w:r>
      <w:r>
        <w:t xml:space="preserve">is not merely a geographical location; it is a global hub for diplomacy, international law, and political science. The presence of major institutions such as the European Commission, the Council of the European Union, and NATO creates an unparalleled opportunity for academic engagement. For any</w:t>
      </w:r>
      <w:r>
        <w:t xml:space="preserve"> </w:t>
      </w:r>
      <w:r>
        <w:t xml:space="preserve">Professor</w:t>
      </w:r>
      <w:r>
        <w:t xml:space="preserve"> </w:t>
      </w:r>
      <w:r>
        <w:t xml:space="preserve">operating in this region, the traditional boundaries between academia and practice are increasingly porous.</w:t>
      </w:r>
    </w:p>
    <w:p>
      <w:pPr>
        <w:pStyle w:val="BodyText"/>
      </w:pPr>
      <w:r>
        <w:t xml:space="preserve">The linguistic complexity of Belgium—ranging from Dutch to French and German—adds another layer of intricacy. A</w:t>
      </w:r>
      <w:r>
        <w:t xml:space="preserve"> </w:t>
      </w:r>
      <w:r>
        <w:t xml:space="preserve">Professor</w:t>
      </w:r>
      <w:r>
        <w:t xml:space="preserve"> </w:t>
      </w:r>
      <w:r>
        <w:t xml:space="preserve">in Brussels must often navigate a bilingual or multilingual environment, fostering inclusivity while maintaining high academic standards. This case study argues that the modern Professor in Brussels acts less as an isolated researcher and more as a bridge-builder between theoretical knowledge and practical policy implementation.</w:t>
      </w:r>
    </w:p>
    <w:bookmarkEnd w:id="20"/>
    <w:bookmarkStart w:id="22" w:name="Xa87c6f1948a77e8f3c04393dba3e560b98424ba"/>
    <w:p>
      <w:pPr>
        <w:pStyle w:val="Heading2"/>
      </w:pPr>
      <w:r>
        <w:t xml:space="preserve">2. The Dual Mandate: Scholarship and Societal Impact</w:t>
      </w:r>
    </w:p>
    <w:p>
      <w:pPr>
        <w:pStyle w:val="FirstParagraph"/>
      </w:pPr>
      <w:r>
        <w:t xml:space="preserve">The role of the</w:t>
      </w:r>
      <w:r>
        <w:t xml:space="preserve"> </w:t>
      </w:r>
      <w:r>
        <w:t xml:space="preserve">Professor</w:t>
      </w:r>
      <w:r>
        <w:t xml:space="preserve"> </w:t>
      </w:r>
      <w:r>
        <w:t xml:space="preserve">in this specific context is defined by a dual mandate. First, they are expected to contribute to the global body of knowledge through peer-reviewed publications, research grants, and curriculum development. Second, they are expected to leverage their expertise for societal impact.</w:t>
      </w:r>
    </w:p>
    <w:bookmarkStart w:id="21" w:name="case-scenario-the-policy-bridge"/>
    <w:p>
      <w:pPr>
        <w:pStyle w:val="Heading3"/>
      </w:pPr>
      <w:r>
        <w:t xml:space="preserve">Case Scenario: The Policy Bridge</w:t>
      </w:r>
    </w:p>
    <w:p>
      <w:pPr>
        <w:pStyle w:val="FirstParagraph"/>
      </w:pPr>
      <w:r>
        <w:t xml:space="preserve">Consider a hypothetical scenario involving a Professor of European Law in Brussels. Unlike their counterparts in rural universities, this Professor is frequently consulted by legislative bodies to draft regulatory frameworks. Their research on GDPR compliance or cross-border data rights is not confined to the classroom; it directly influences the laws of 27 member states. This demonstrates that in</w:t>
      </w:r>
      <w:r>
        <w:t xml:space="preserve"> </w:t>
      </w:r>
      <w:r>
        <w:t xml:space="preserve">Belgium Brussels</w:t>
      </w:r>
      <w:r>
        <w:t xml:space="preserve">, academic prestige is often measured by tangible policy influence.</w:t>
      </w:r>
    </w:p>
    <w:bookmarkEnd w:id="21"/>
    <w:p>
      <w:pPr>
        <w:pStyle w:val="BodyText"/>
      </w:pPr>
      <w:r>
        <w:t xml:space="preserve">This dual mandate requires a Professor to possess exceptional communication skills. They must be able to translate complex academic concepts into actionable insights for policymakers, business leaders, and civil society organizations. The case study highlights that success in this environment depends on the ability to maintain academic integrity while engaging with political stakeholders.</w:t>
      </w:r>
    </w:p>
    <w:bookmarkEnd w:id="22"/>
    <w:bookmarkStart w:id="24" w:name="institutional-dynamics-and-collaboration"/>
    <w:p>
      <w:pPr>
        <w:pStyle w:val="Heading2"/>
      </w:pPr>
      <w:r>
        <w:t xml:space="preserve">3. Institutional Dynamics and Collaboration</w:t>
      </w:r>
    </w:p>
    <w:p>
      <w:pPr>
        <w:pStyle w:val="FirstParagraph"/>
      </w:pPr>
      <w:r>
        <w:t xml:space="preserve">Institutions located in</w:t>
      </w:r>
      <w:r>
        <w:t xml:space="preserve"> </w:t>
      </w:r>
      <w:r>
        <w:t xml:space="preserve">Belgium Brussels</w:t>
      </w:r>
      <w:r>
        <w:t xml:space="preserve">, such as Université Libre de Bruxelles (ULB) or Vrije Universiteit Brussel (VUB), are characterized by strong international networks. A Professor here is often embedded in collaborative research projects funded by the Horizon Europe framework.</w:t>
      </w:r>
    </w:p>
    <w:bookmarkStart w:id="23" w:name="key-collaboration-areas"/>
    <w:p>
      <w:pPr>
        <w:pStyle w:val="Heading3"/>
      </w:pPr>
      <w:r>
        <w:t xml:space="preserve">Key Collaboration Areas:</w:t>
      </w:r>
    </w:p>
    <w:p>
      <w:pPr>
        <w:numPr>
          <w:ilvl w:val="0"/>
          <w:numId w:val="1001"/>
        </w:numPr>
        <w:pStyle w:val="Compact"/>
      </w:pPr>
      <w:r>
        <w:rPr>
          <w:bCs/>
          <w:b/>
        </w:rPr>
        <w:t xml:space="preserve">Euro-Atlantic Studies:</w:t>
      </w:r>
    </w:p>
    <w:p>
      <w:pPr>
        <w:numPr>
          <w:ilvl w:val="0"/>
          <w:numId w:val="1001"/>
        </w:numPr>
      </w:pPr>
      <w:r>
        <w:t xml:space="preserve">Sustainable Urban Development:</w:t>
      </w:r>
    </w:p>
    <w:p>
      <w:pPr>
        <w:numPr>
          <w:ilvl w:val="0"/>
          <w:numId w:val="1000"/>
        </w:numPr>
      </w:pPr>
      <w:r>
        <w:t xml:space="preserve">Given Brussels' ongoing urban regeneration projects, a Professor in urban planning or environmental science plays a crucial role. They provide data-driven recommendations for sustainable housing and green energy solutions, directly contributing to the city's climate goals.</w:t>
      </w:r>
    </w:p>
    <w:p>
      <w:pPr>
        <w:numPr>
          <w:ilvl w:val="0"/>
          <w:numId w:val="1001"/>
        </w:numPr>
      </w:pPr>
      <w:r>
        <w:t xml:space="preserve">Digital Innovation:</w:t>
      </w:r>
    </w:p>
    <w:p>
      <w:pPr>
        <w:numPr>
          <w:ilvl w:val="0"/>
          <w:numId w:val="1000"/>
        </w:numPr>
      </w:pPr>
      <w:r>
        <w:t xml:space="preserve">The rise of the "Digital Brussels" ecosystem offers opportunities for Professors in computer science and economics. By partnering with startups and tech hubs, they help foster innovation ecosystems that are both academically rigorous and commercially viable.</w:t>
      </w:r>
    </w:p>
    <w:bookmarkEnd w:id="23"/>
    <w:bookmarkEnd w:id="24"/>
    <w:bookmarkStart w:id="27" w:name="challenges-faced-by-the-professor"/>
    <w:p>
      <w:pPr>
        <w:pStyle w:val="Heading2"/>
      </w:pPr>
      <w:r>
        <w:t xml:space="preserve">4. Challenges Faced by the Professor</w:t>
      </w:r>
    </w:p>
    <w:p>
      <w:pPr>
        <w:pStyle w:val="FirstParagraph"/>
      </w:pPr>
      <w:r>
        <w:t xml:space="preserve">Navigating the academic landscape in</w:t>
      </w:r>
      <w:r>
        <w:t xml:space="preserve"> </w:t>
      </w:r>
      <w:r>
        <w:t xml:space="preserve">Belgium Brussels</w:t>
      </w:r>
      <w:r>
        <w:t xml:space="preserve"> </w:t>
      </w:r>
      <w:r>
        <w:t xml:space="preserve">is not without its challenges. One significant hurdle is the bureaucratic complexity inherent in both Belgian academia and EU funding mechanisms.</w:t>
      </w:r>
    </w:p>
    <w:bookmarkStart w:id="25" w:name="bureaucratic-hurdles"/>
    <w:p>
      <w:pPr>
        <w:pStyle w:val="Heading3"/>
      </w:pPr>
      <w:r>
        <w:t xml:space="preserve">Bureaucratic Hurdles:</w:t>
      </w:r>
    </w:p>
    <w:p>
      <w:pPr>
        <w:pStyle w:val="FirstParagraph"/>
      </w:pPr>
      <w:r>
        <w:t xml:space="preserve">A Professor must dedicate substantial time to administrative reporting, grant compliance, and ethical reviews. This administrative burden can sometimes detract from core research activities. Furthermore, the competitive nature of securing EU funding means that Professors are under constant pressure to demonstrate relevance and impact.</w:t>
      </w:r>
    </w:p>
    <w:bookmarkEnd w:id="25"/>
    <w:bookmarkStart w:id="26" w:name="diversity-and-inclusion"/>
    <w:p>
      <w:pPr>
        <w:pStyle w:val="Heading3"/>
      </w:pPr>
      <w:r>
        <w:t xml:space="preserve">Diversity and Inclusion:</w:t>
      </w:r>
    </w:p>
    <w:p>
      <w:pPr>
        <w:pStyle w:val="FirstParagraph"/>
      </w:pPr>
      <w:r>
        <w:t xml:space="preserve">Belgium Brussels</w:t>
      </w:r>
      <w:r>
        <w:t xml:space="preserve"> </w:t>
      </w:r>
      <w:r>
        <w:t xml:space="preserve">is a melting pot of cultures. A Professor is tasked with creating an inclusive classroom environment that respects diverse backgrounds. This requires active efforts to mitigate unconscious bias, accommodate different learning styles, and ensure that course materials reflect a global perspective rather than a purely Eurocentric one.</w:t>
      </w:r>
    </w:p>
    <w:bookmarkEnd w:id="26"/>
    <w:bookmarkEnd w:id="27"/>
    <w:bookmarkStart w:id="28" w:name="X969c6fb1db8ff98b8bbf8e87c171e4ee89916d4"/>
    <w:p>
      <w:pPr>
        <w:pStyle w:val="Heading2"/>
      </w:pPr>
      <w:r>
        <w:t xml:space="preserve">5. Strategic Recommendations for Universities</w:t>
      </w:r>
    </w:p>
    <w:p>
      <w:pPr>
        <w:pStyle w:val="FirstParagraph"/>
      </w:pPr>
      <w:r>
        <w:t xml:space="preserve">To maximize the potential of a Professor in this unique setting, universities must adopt strategic support structures:</w:t>
      </w:r>
    </w:p>
    <w:p>
      <w:pPr>
        <w:numPr>
          <w:ilvl w:val="0"/>
          <w:numId w:val="1002"/>
        </w:numPr>
        <w:pStyle w:val="Compact"/>
      </w:pPr>
      <w:r>
        <w:rPr>
          <w:bCs/>
          <w:b/>
        </w:rPr>
        <w:t xml:space="preserve">Dedicated Policy Liaison Offices:</w:t>
      </w:r>
    </w:p>
    <w:p>
      <w:pPr>
        <w:numPr>
          <w:ilvl w:val="0"/>
          <w:numId w:val="1002"/>
        </w:numPr>
      </w:pPr>
      <w:r>
        <w:t xml:space="preserve">Multilingual Training:</w:t>
      </w:r>
    </w:p>
    <w:p>
      <w:pPr>
        <w:numPr>
          <w:ilvl w:val="0"/>
          <w:numId w:val="1000"/>
        </w:numPr>
      </w:pPr>
      <w:r>
        <w:t xml:space="preserve">Providing resources for language learning and cross-cultural communication can enhance the effectiveness of a Professor in serving a diverse student body and international partner network.</w:t>
      </w:r>
    </w:p>
    <w:p>
      <w:pPr>
        <w:numPr>
          <w:ilvl w:val="0"/>
          <w:numId w:val="1002"/>
        </w:numPr>
      </w:pPr>
      <w:r>
        <w:t xml:space="preserve">Sabbatical for Engagement:</w:t>
      </w:r>
    </w:p>
    <w:p>
      <w:pPr>
        <w:numPr>
          <w:ilvl w:val="0"/>
          <w:numId w:val="1000"/>
        </w:numPr>
      </w:pPr>
      <w:r>
        <w:t xml:space="preserve">Rather than traditional academic sabbaticals, Universities should encourage "engagement leaves" where Professors spend time working within institutions in Brussels, fostering real-world connections that benefit both their research and their students.</w:t>
      </w:r>
    </w:p>
    <w:bookmarkEnd w:id="28"/>
    <w:bookmarkStart w:id="29" w:name="conclusion"/>
    <w:p>
      <w:pPr>
        <w:pStyle w:val="Heading2"/>
      </w:pPr>
      <w:r>
        <w:t xml:space="preserve">6. Conclusion</w:t>
      </w:r>
    </w:p>
    <w:p>
      <w:pPr>
        <w:pStyle w:val="FirstParagraph"/>
      </w:pPr>
      <w:r>
        <w:t xml:space="preserve">The case study of the Professor in</w:t>
      </w:r>
      <w:r>
        <w:t xml:space="preserve"> </w:t>
      </w:r>
      <w:r>
        <w:t xml:space="preserve">Belgium Brussels</w:t>
      </w:r>
      <w:r>
        <w:t xml:space="preserve"> </w:t>
      </w:r>
      <w:r>
        <w:t xml:space="preserve">reveals a dynamic and evolving role. It is no longer sufficient to be solely a teacher or a researcher; the modern Professor must also be an ambassador, a policy advisor, and an innovator.</w:t>
      </w:r>
    </w:p>
    <w:p>
      <w:pPr>
        <w:pStyle w:val="BodyText"/>
      </w:pPr>
      <w:r>
        <w:t xml:space="preserve">The unique positioning of Brussels allows for academic work that has immediate global relevance. By leveraging this environment, Professors can drive meaningful change in areas ranging from human rights to digital privacy and urban sustainability. However, realizing this potential requires institutional support that acknowledges the complexities of operating at the heart of Europe.</w:t>
      </w:r>
    </w:p>
    <w:p>
      <w:pPr>
        <w:pStyle w:val="BodyText"/>
      </w:pPr>
      <w:r>
        <w:t xml:space="preserve">Ultimately, the value of a Professor in</w:t>
      </w:r>
      <w:r>
        <w:t xml:space="preserve"> </w:t>
      </w:r>
      <w:r>
        <w:t xml:space="preserve">Belgium Brussels</w:t>
      </w:r>
      <w:r>
        <w:t xml:space="preserve"> </w:t>
      </w:r>
      <w:r>
        <w:t xml:space="preserve">lies in their ability to connect theory with practice, ensuring that academic excellence contributes to the broader societal good. As we look to the future, it is imperative that universities and policymakers continue to invest in this hybrid model of scholarship, recognizing that the insights generated by our Professors are vital for navigating an increasingly complex world.</w:t>
      </w:r>
    </w:p>
    <w:p>
      <w:pPr>
        <w:pStyle w:val="BodyText"/>
      </w:pPr>
      <w:r>
        <w:rPr>
          <w:iCs/>
          <w:i/>
        </w:rPr>
        <w:t xml:space="preserve">This case study is intended for internal review and strategic planning purposes. All references to "Belgium Brussels" and the role of the "Professor" are contextualized within current academic trends in Western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Professor in the Academic Landscape of Belgium Brussels</dc:title>
  <dc:creator/>
  <dc:language>en</dc:language>
  <cp:keywords/>
  <dcterms:created xsi:type="dcterms:W3CDTF">2026-07-29T03:22:13Z</dcterms:created>
  <dcterms:modified xsi:type="dcterms:W3CDTF">2026-07-29T03:22:13Z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