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Integration</w:t>
      </w:r>
      <w:r>
        <w:t xml:space="preserve"> </w:t>
      </w:r>
      <w:r>
        <w:t xml:space="preserve">in</w:t>
      </w:r>
      <w:r>
        <w:t xml:space="preserve"> </w:t>
      </w:r>
      <w:r>
        <w:t xml:space="preserve">Tradition: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Kyoto</w:t>
      </w:r>
    </w:p>
    <w:bookmarkStart w:id="32" w:name="X5f00318b55ca0c0b074b5302c1b019e7bb2d3ac"/>
    <w:p>
      <w:pPr>
        <w:pStyle w:val="Heading1"/>
      </w:pPr>
      <w:r>
        <w:t xml:space="preserve">Academic Integration in Tradition: A Case Study of the Professor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Academic Review</w:t>
      </w:r>
      <w:r>
        <w:br/>
      </w:r>
      <w:r>
        <w:rPr>
          <w:bCs/>
          <w:b/>
        </w:rPr>
        <w:t xml:space="preserve">Jurisdiction:</w:t>
      </w:r>
      <w:r>
        <w:t xml:space="preserve"> </w:t>
      </w:r>
      <w:r>
        <w:t xml:space="preserve">Japan Kyoto Metropolitan Area</w:t>
      </w:r>
    </w:p>
    <w:bookmarkStart w:id="20" w:name="executive-summary"/>
    <w:p>
      <w:pPr>
        <w:pStyle w:val="Heading2"/>
      </w:pPr>
      <w:r>
        <w:t xml:space="preserve">1. Executive Summary</w:t>
      </w:r>
    </w:p>
    <w:p>
      <w:pPr>
        <w:pStyle w:val="FirstParagraph"/>
      </w:pPr>
      <w:r>
        <w:t xml:space="preserve">This document serves as a comprehensive case study regarding the professional conduct, cultural integration, and academic contributions of a tenured</w:t>
      </w:r>
      <w:r>
        <w:t xml:space="preserve"> </w:t>
      </w:r>
      <w:r>
        <w:rPr>
          <w:bCs/>
          <w:b/>
        </w:rPr>
        <w:t xml:space="preserve">Professor</w:t>
      </w:r>
      <w:r>
        <w:t xml:space="preserve">[1]</w:t>
      </w:r>
      <w:r>
        <w:t xml:space="preserve">, situated within the unique socio-academic landscape of</w:t>
      </w:r>
      <w:r>
        <w:t xml:space="preserve"> </w:t>
      </w:r>
      <w:r>
        <w:rPr>
          <w:bCs/>
          <w:b/>
        </w:rPr>
        <w:t xml:space="preserve">Japan Kyoto</w:t>
      </w:r>
      <w:r>
        <w:t xml:space="preserve">[2]</w:t>
      </w:r>
      <w:r>
        <w:t xml:space="preserve">. The primary objective is to analyze how higher education faculties navigate the intersection of global academic standards and deep-rooted Japanese cultural traditions.</w:t>
      </w:r>
      <w:r>
        <w:t xml:space="preserve"> </w:t>
      </w:r>
      <w:r>
        <w:rPr>
          <w:bCs/>
          <w:b/>
        </w:rPr>
        <w:t xml:space="preserve">Kyoto Japan</w:t>
      </w:r>
      <w:r>
        <w:t xml:space="preserve">[3]</w:t>
      </w:r>
      <w:r>
        <w:t xml:space="preserve"> </w:t>
      </w:r>
      <w:r>
        <w:t xml:space="preserve">presents a distinct environment due to its historical significance as the former imperial capital, offering a backdrop where modern pedagogy meets centuries-old aesthetic and social philosophies. This</w:t>
      </w:r>
      <w:r>
        <w:t xml:space="preserve"> </w:t>
      </w:r>
      <w:r>
        <w:rPr>
          <w:bCs/>
          <w:b/>
        </w:rPr>
        <w:t xml:space="preserve">case study</w:t>
      </w:r>
      <w:r>
        <w:t xml:space="preserve">[4]</w:t>
      </w:r>
      <w:r>
        <w:t xml:space="preserve"> </w:t>
      </w:r>
      <w:r>
        <w:t xml:space="preserve">explores the challenges of maintaining intellectual rigor while adhering to the hierarchical and communal expectations inherent in Japanese academic institutions.</w:t>
      </w:r>
    </w:p>
    <w:bookmarkEnd w:id="20"/>
    <w:bookmarkStart w:id="21" w:name="X6b7c156df81eab7f9e9eae219911f294287d07a"/>
    <w:p>
      <w:pPr>
        <w:pStyle w:val="Heading2"/>
      </w:pPr>
      <w:r>
        <w:t xml:space="preserve">2. Contextual Background: The Unique Ecology of Japan Kyoto</w:t>
      </w:r>
    </w:p>
    <w:p>
      <w:pPr>
        <w:pStyle w:val="FirstParagraph"/>
      </w:pPr>
      <w:r>
        <w:t xml:space="preserve">To understand the role of a</w:t>
      </w:r>
      <w:r>
        <w:t xml:space="preserve"> </w:t>
      </w:r>
      <w:r>
        <w:rPr>
          <w:bCs/>
          <w:b/>
        </w:rPr>
        <w:t xml:space="preserve">Professor</w:t>
      </w:r>
      <w:r>
        <w:t xml:space="preserve">, one must first contextualize the environment.</w:t>
      </w:r>
      <w:r>
        <w:t xml:space="preserve"> </w:t>
      </w:r>
      <w:r>
        <w:rPr>
          <w:bCs/>
          <w:b/>
        </w:rPr>
        <w:t xml:space="preserve">Kyoto Japan</w:t>
      </w:r>
      <w:r>
        <w:t xml:space="preserve"> </w:t>
      </w:r>
      <w:r>
        <w:t xml:space="preserve">is not merely a city; it is a living museum of Japanese culture, history, and spirituality. For an academic institution located here, such as Kyoto University or Doshisha University, the physical surroundings influence the pedagogical approach. The presence of over two thousand temples and shrines creates an atmosphere that demands respect for silence, reflection, and historical continuity.</w:t>
      </w:r>
    </w:p>
    <w:p>
      <w:pPr>
        <w:pStyle w:val="BodyText"/>
      </w:pPr>
      <w:r>
        <w:t xml:space="preserve">The city of</w:t>
      </w:r>
      <w:r>
        <w:t xml:space="preserve"> </w:t>
      </w:r>
      <w:r>
        <w:rPr>
          <w:bCs/>
          <w:b/>
        </w:rPr>
        <w:t xml:space="preserve">Japan Kyoto</w:t>
      </w:r>
      <w:r>
        <w:t xml:space="preserve">[5]</w:t>
      </w:r>
      <w:r>
        <w:t xml:space="preserve"> </w:t>
      </w:r>
      <w:r>
        <w:t xml:space="preserve">balances being a modern technological hub with its identity as the guardian of traditional arts. This duality places specific expectations on faculty members. A</w:t>
      </w:r>
      <w:r>
        <w:t xml:space="preserve"> </w:t>
      </w:r>
      <w:r>
        <w:rPr>
          <w:bCs/>
          <w:b/>
        </w:rPr>
        <w:t xml:space="preserve">Professor</w:t>
      </w:r>
      <w:r>
        <w:t xml:space="preserve">[6]</w:t>
      </w:r>
      <w:r>
        <w:t xml:space="preserve"> </w:t>
      </w:r>
      <w:r>
        <w:t xml:space="preserve">in this region is expected to be not only a disseminator of knowledge but also an ambassador of cultural heritage. The local community, including artisans, monks, and government officials, often views the university as a steward of regional identity. Therefore, the</w:t>
      </w:r>
      <w:r>
        <w:t xml:space="preserve"> </w:t>
      </w:r>
      <w:r>
        <w:rPr>
          <w:bCs/>
          <w:b/>
        </w:rPr>
        <w:t xml:space="preserve">case study</w:t>
      </w:r>
      <w:r>
        <w:t xml:space="preserve">[7]</w:t>
      </w:r>
      <w:r>
        <w:t xml:space="preserve"> </w:t>
      </w:r>
      <w:r>
        <w:t xml:space="preserve">highlights that academic success in this region is measured not just by publication metrics but by societal contribution and cultural sensitivity.</w:t>
      </w:r>
    </w:p>
    <w:bookmarkEnd w:id="21"/>
    <w:bookmarkStart w:id="24" w:name="profile-of-the-subject-the-professor"/>
    <w:p>
      <w:pPr>
        <w:pStyle w:val="Heading2"/>
      </w:pPr>
      <w:r>
        <w:t xml:space="preserve">3. Profile of the Subject: The Professor</w:t>
      </w:r>
    </w:p>
    <w:p>
      <w:pPr>
        <w:pStyle w:val="FirstParagraph"/>
      </w:pPr>
      <w:r>
        <w:t xml:space="preserve">The subject of this</w:t>
      </w:r>
      <w:r>
        <w:t xml:space="preserve"> </w:t>
      </w:r>
      <w:r>
        <w:rPr>
          <w:bCs/>
          <w:b/>
        </w:rPr>
        <w:t xml:space="preserve">case study</w:t>
      </w:r>
      <w:r>
        <w:t xml:space="preserve">, referred to here as "Dr. A," is a senior</w:t>
      </w:r>
      <w:r>
        <w:t xml:space="preserve"> </w:t>
      </w:r>
      <w:r>
        <w:rPr>
          <w:bCs/>
          <w:b/>
        </w:rPr>
        <w:t xml:space="preserve">Professor</w:t>
      </w:r>
      <w:r>
        <w:t xml:space="preserve">[8]</w:t>
      </w:r>
      <w:r>
        <w:t xml:space="preserve"> </w:t>
      </w:r>
      <w:r>
        <w:t xml:space="preserve">specializing in East Asian History and Sociology. Dr. A has spent fifteen years in academia, with the last seven dedicated specifically to research within</w:t>
      </w:r>
      <w:r>
        <w:t xml:space="preserve"> </w:t>
      </w:r>
      <w:r>
        <w:rPr>
          <w:bCs/>
          <w:b/>
        </w:rPr>
        <w:t xml:space="preserve">Kyoto Japan</w:t>
      </w:r>
      <w:r>
        <w:t xml:space="preserve">. This tenure allows for a comparative analysis between foreign academic norms and domestic Japanese practices.</w:t>
      </w:r>
    </w:p>
    <w:bookmarkStart w:id="22" w:name="professional-responsibilities"/>
    <w:p>
      <w:pPr>
        <w:pStyle w:val="Heading3"/>
      </w:pPr>
      <w:r>
        <w:t xml:space="preserve">3.1 Professional Responsibilities</w:t>
      </w:r>
    </w:p>
    <w:p>
      <w:pPr>
        <w:pStyle w:val="FirstParagraph"/>
      </w:pPr>
      <w:r>
        <w:t xml:space="preserve">The core duties of a</w:t>
      </w:r>
      <w:r>
        <w:t xml:space="preserve"> </w:t>
      </w:r>
      <w:r>
        <w:rPr>
          <w:bCs/>
          <w:b/>
        </w:rPr>
        <w:t xml:space="preserve">Professor</w:t>
      </w:r>
      <w:r>
        <w:t xml:space="preserve">[9]</w:t>
      </w:r>
      <w:r>
        <w:t xml:space="preserve"> </w:t>
      </w:r>
      <w:r>
        <w:t xml:space="preserve">in</w:t>
      </w:r>
      <w:r>
        <w:t xml:space="preserve"> </w:t>
      </w:r>
      <w:r>
        <w:rPr>
          <w:bCs/>
          <w:b/>
        </w:rPr>
        <w:t xml:space="preserve">Kyoto Japan</w:t>
      </w:r>
      <w:r>
        <w:t xml:space="preserve">[10]</w:t>
      </w:r>
      <w:r>
        <w:t xml:space="preserve"> </w:t>
      </w:r>
      <w:r>
        <w:t xml:space="preserve">involve teaching undergraduate and graduate students, conducting original research, and contributing to university governance. However, the weight of administrative duties is often heavier here due to the communal nature of Japanese workplaces. Dr. A spends significant time in faculty meetings where consensus-building (Nemawashi) is crucial before any decision is made publicly.</w:t>
      </w:r>
    </w:p>
    <w:bookmarkEnd w:id="22"/>
    <w:bookmarkStart w:id="23" w:name="cultural-integration-challenges"/>
    <w:p>
      <w:pPr>
        <w:pStyle w:val="Heading3"/>
      </w:pPr>
      <w:r>
        <w:t xml:space="preserve">2.2 Cultural Integration Challenges</w:t>
      </w:r>
    </w:p>
    <w:p>
      <w:pPr>
        <w:pStyle w:val="FirstParagraph"/>
      </w:pPr>
      <w:r>
        <w:t xml:space="preserve">A central theme in this</w:t>
      </w:r>
      <w:r>
        <w:t xml:space="preserve"> </w:t>
      </w:r>
      <w:r>
        <w:rPr>
          <w:bCs/>
          <w:b/>
        </w:rPr>
        <w:t xml:space="preserve">case study</w:t>
      </w:r>
      <w:r>
        <w:t xml:space="preserve">[11]</w:t>
      </w:r>
      <w:r>
        <w:t xml:space="preserve"> </w:t>
      </w:r>
      <w:r>
        <w:t xml:space="preserve">is the concept of "wa" (harmony). For a</w:t>
      </w:r>
      <w:r>
        <w:t xml:space="preserve"> </w:t>
      </w:r>
      <w:r>
        <w:rPr>
          <w:bCs/>
          <w:b/>
        </w:rPr>
        <w:t xml:space="preserve">Professor</w:t>
      </w:r>
      <w:r>
        <w:t xml:space="preserve">[12]</w:t>
      </w:r>
      <w:r>
        <w:t xml:space="preserve">, disrupting group harmony through aggressive debate or individualistic ambition is often frowned upon. In</w:t>
      </w:r>
      <w:r>
        <w:t xml:space="preserve"> </w:t>
      </w:r>
      <w:r>
        <w:rPr>
          <w:bCs/>
          <w:b/>
        </w:rPr>
        <w:t xml:space="preserve">Kyoto Japan</w:t>
      </w:r>
      <w:r>
        <w:t xml:space="preserve">[13]</w:t>
      </w:r>
      <w:r>
        <w:t xml:space="preserve">, social etiquette dictates a high degree of indirect communication. Dr. A had to adapt their teaching style from direct critique to more nuanced guidance, ensuring students felt respected while still receiving rigorous feedback.</w:t>
      </w:r>
    </w:p>
    <w:bookmarkEnd w:id="23"/>
    <w:bookmarkEnd w:id="24"/>
    <w:bookmarkStart w:id="28" w:name="analysis-of-key-dynamics"/>
    <w:p>
      <w:pPr>
        <w:pStyle w:val="Heading2"/>
      </w:pPr>
      <w:r>
        <w:t xml:space="preserve">4. Analysis of Key Dynamics</w:t>
      </w:r>
    </w:p>
    <w:p>
      <w:pPr>
        <w:pStyle w:val="FirstParagraph"/>
      </w:pPr>
      <w:r>
        <w:t xml:space="preserve">This section breaks down the specific interactions that define the role of a</w:t>
      </w:r>
      <w:r>
        <w:t xml:space="preserve"> </w:t>
      </w:r>
      <w:r>
        <w:rPr>
          <w:bCs/>
          <w:b/>
        </w:rPr>
        <w:t xml:space="preserve">Professor</w:t>
      </w:r>
      <w:r>
        <w:t xml:space="preserve">[14]</w:t>
      </w:r>
      <w:r>
        <w:t xml:space="preserve"> </w:t>
      </w:r>
      <w:r>
        <w:t xml:space="preserve">in this specific geographic location.</w:t>
      </w:r>
    </w:p>
    <w:bookmarkStart w:id="25" w:name="the-student-teacher-hierarchy"/>
    <w:p>
      <w:pPr>
        <w:pStyle w:val="Heading3"/>
      </w:pPr>
      <w:r>
        <w:t xml:space="preserve">4.1 The Student-Teacher Hierarchy</w:t>
      </w:r>
    </w:p>
    <w:p>
      <w:pPr>
        <w:pStyle w:val="FirstParagraph"/>
      </w:pPr>
      <w:r>
        <w:t xml:space="preserve">In</w:t>
      </w:r>
      <w:r>
        <w:t xml:space="preserve"> </w:t>
      </w:r>
      <w:r>
        <w:rPr>
          <w:bCs/>
          <w:b/>
        </w:rPr>
        <w:t xml:space="preserve">Kyoto Japan</w:t>
      </w:r>
      <w:r>
        <w:t xml:space="preserve">[15]</w:t>
      </w:r>
      <w:r>
        <w:t xml:space="preserve">, the relationship between a student and a</w:t>
      </w:r>
      <w:r>
        <w:t xml:space="preserve"> </w:t>
      </w:r>
      <w:r>
        <w:rPr>
          <w:bCs/>
          <w:b/>
        </w:rPr>
        <w:t xml:space="preserve">Professor</w:t>
      </w:r>
      <w:r>
        <w:t xml:space="preserve">[16]</w:t>
      </w:r>
      <w:r>
        <w:t xml:space="preserve"> </w:t>
      </w:r>
      <w:r>
        <w:t xml:space="preserve">is deeply hierarchical. The professor is viewed as a mentor for life, not just during the semester. This requires Dr. A to engage in "kenkyuushitsu" (laboratory/office) culture, where students linger after hours to discuss not just academics but personal and career development. This extended engagement is critical for building the trust necessary for effective teaching.</w:t>
      </w:r>
    </w:p>
    <w:bookmarkEnd w:id="25"/>
    <w:bookmarkStart w:id="26" w:name="research-and-local-collaboration"/>
    <w:p>
      <w:pPr>
        <w:pStyle w:val="Heading3"/>
      </w:pPr>
      <w:r>
        <w:t xml:space="preserve">4.2 Research and Local Collaboration</w:t>
      </w:r>
    </w:p>
    <w:p>
      <w:pPr>
        <w:pStyle w:val="FirstParagraph"/>
      </w:pPr>
      <w:r>
        <w:t xml:space="preserve">The unique aspect of conducting research in</w:t>
      </w:r>
      <w:r>
        <w:t xml:space="preserve"> </w:t>
      </w:r>
      <w:r>
        <w:rPr>
          <w:bCs/>
          <w:b/>
        </w:rPr>
        <w:t xml:space="preserve">Kyoto Japan</w:t>
      </w:r>
      <w:r>
        <w:t xml:space="preserve">[17]</w:t>
      </w:r>
      <w:r>
        <w:t xml:space="preserve"> </w:t>
      </w:r>
      <w:r>
        <w:t xml:space="preserve">is the access to primary sources that are not available elsewhere. A</w:t>
      </w:r>
      <w:r>
        <w:t xml:space="preserve"> </w:t>
      </w:r>
      <w:r>
        <w:rPr>
          <w:bCs/>
          <w:b/>
        </w:rPr>
        <w:t xml:space="preserve">Professor</w:t>
      </w:r>
      <w:r>
        <w:t xml:space="preserve">[18]</w:t>
      </w:r>
      <w:r>
        <w:t xml:space="preserve"> </w:t>
      </w:r>
      <w:r>
        <w:t xml:space="preserve">here often collaborates with local temples, museums, and historical societies. This interdisciplinary approach enriches the academic output but requires diplomatic skills to navigate non-academic stakeholders who may have different priorities than university administrators.</w:t>
      </w:r>
    </w:p>
    <w:bookmarkEnd w:id="26"/>
    <w:bookmarkStart w:id="27" w:name="global-vs.-local-expectations"/>
    <w:p>
      <w:pPr>
        <w:pStyle w:val="Heading3"/>
      </w:pPr>
      <w:r>
        <w:t xml:space="preserve">4.3 Global vs. Local Expectations</w:t>
      </w:r>
    </w:p>
    <w:p>
      <w:pPr>
        <w:pStyle w:val="FirstParagraph"/>
      </w:pPr>
      <w:r>
        <w:t xml:space="preserve">A major point of tension in this</w:t>
      </w:r>
      <w:r>
        <w:t xml:space="preserve"> </w:t>
      </w:r>
      <w:r>
        <w:rPr>
          <w:bCs/>
          <w:b/>
        </w:rPr>
        <w:t xml:space="preserve">case study</w:t>
      </w:r>
      <w:r>
        <w:t xml:space="preserve">[19]</w:t>
      </w:r>
      <w:r>
        <w:t xml:space="preserve"> </w:t>
      </w:r>
      <w:r>
        <w:t xml:space="preserve">is the pressure to publish in international English-language journals versus contributing to domestic Japanese academic discourse. Dr. A, like many</w:t>
      </w:r>
      <w:r>
        <w:t xml:space="preserve"> </w:t>
      </w:r>
      <w:r>
        <w:rPr>
          <w:bCs/>
          <w:b/>
        </w:rPr>
        <w:t xml:space="preserve">Professors</w:t>
      </w:r>
      <w:r>
        <w:t xml:space="preserve">[20]</w:t>
      </w:r>
      <w:r>
        <w:t xml:space="preserve">, faces a dual burden of meeting global citation metrics while also participating in local community lectures and cultural preservation efforts valued by the people of</w:t>
      </w:r>
      <w:r>
        <w:t xml:space="preserve"> </w:t>
      </w:r>
      <w:r>
        <w:rPr>
          <w:bCs/>
          <w:b/>
        </w:rPr>
        <w:t xml:space="preserve">Kyoto Japan</w:t>
      </w:r>
      <w:r>
        <w:t xml:space="preserve">[21]</w:t>
      </w:r>
      <w:r>
        <w:t xml:space="preserve">.</w:t>
      </w:r>
    </w:p>
    <w:bookmarkEnd w:id="27"/>
    <w:bookmarkEnd w:id="28"/>
    <w:bookmarkStart w:id="29" w:name="case-study-findings"/>
    <w:p>
      <w:pPr>
        <w:pStyle w:val="Heading2"/>
      </w:pPr>
      <w:r>
        <w:t xml:space="preserve">5. Case Study Findings</w:t>
      </w:r>
    </w:p>
    <w:p>
      <w:pPr>
        <w:pStyle w:val="FirstParagraph"/>
      </w:pPr>
      <w:r>
        <w:t xml:space="preserve">The findings suggest that a successful</w:t>
      </w:r>
      <w:r>
        <w:t xml:space="preserve"> </w:t>
      </w:r>
      <w:r>
        <w:rPr>
          <w:bCs/>
          <w:b/>
        </w:rPr>
        <w:t xml:space="preserve">Professor</w:t>
      </w:r>
      <w:r>
        <w:t xml:space="preserve">[22]</w:t>
      </w:r>
      <w:r>
        <w:t xml:space="preserve"> </w:t>
      </w:r>
      <w:r>
        <w:t xml:space="preserve">in</w:t>
      </w:r>
      <w:r>
        <w:t xml:space="preserve"> </w:t>
      </w:r>
      <w:r>
        <w:rPr>
          <w:bCs/>
          <w:b/>
        </w:rPr>
        <w:t xml:space="preserve">Kyoto Japan</w:t>
      </w:r>
      <w:r>
        <w:t xml:space="preserve">[23]</w:t>
      </w:r>
      <w:r>
        <w:t xml:space="preserve"> </w:t>
      </w:r>
      <w:r>
        <w:t xml:space="preserve">must possess high cultural intelligence. Technical expertise is insufficient without the ability to navigate social nuances. The following key factors were identified:</w:t>
      </w:r>
    </w:p>
    <w:p>
      <w:pPr>
        <w:numPr>
          <w:ilvl w:val="0"/>
          <w:numId w:val="1001"/>
        </w:numPr>
        <w:pStyle w:val="Compact"/>
      </w:pPr>
      <w:r>
        <w:rPr>
          <w:bCs/>
          <w:b/>
        </w:rPr>
        <w:t xml:space="preserve">Hierarchical Respect:</w:t>
      </w:r>
      <w:r>
        <w:t xml:space="preserve"> </w:t>
      </w:r>
      <w:r>
        <w:t xml:space="preserve">Acknowledging seniority and institutional structure is non-negotiable.</w:t>
      </w:r>
    </w:p>
    <w:p>
      <w:pPr>
        <w:numPr>
          <w:ilvl w:val="0"/>
          <w:numId w:val="1001"/>
        </w:numPr>
        <w:pStyle w:val="Compact"/>
      </w:pPr>
      <w:r>
        <w:rPr>
          <w:bCs/>
          <w:b/>
        </w:rPr>
        <w:t xml:space="preserve">Silent Presence:</w:t>
      </w:r>
      <w:r>
        <w:t xml:space="preserve"> </w:t>
      </w:r>
      <w:r>
        <w:t xml:space="preserve">In Japanese academic culture, being physically present in the office (genba) is often valued more than visible activity.</w:t>
      </w:r>
    </w:p>
    <w:p>
      <w:pPr>
        <w:numPr>
          <w:ilvl w:val="0"/>
          <w:numId w:val="1001"/>
        </w:numPr>
        <w:pStyle w:val="Compact"/>
      </w:pPr>
      <w:r>
        <w:rPr>
          <w:bCs/>
          <w:b/>
        </w:rPr>
        <w:t xml:space="preserve">Cultural Stewardship:</w:t>
      </w:r>
      <w:r>
        <w:t xml:space="preserve"> </w:t>
      </w:r>
      <w:r>
        <w:t xml:space="preserve">The</w:t>
      </w:r>
      <w:r>
        <w:t xml:space="preserve"> </w:t>
      </w:r>
      <w:r>
        <w:rPr>
          <w:bCs/>
          <w:b/>
        </w:rPr>
        <w:t xml:space="preserve">Professor</w:t>
      </w:r>
      <w:r>
        <w:t xml:space="preserve">[24]</w:t>
      </w:r>
      <w:r>
        <w:t xml:space="preserve"> </w:t>
      </w:r>
      <w:r>
        <w:t xml:space="preserve">acts as a bridge between ancient traditions and modern science, a role particularly emphasized in</w:t>
      </w:r>
      <w:r>
        <w:t xml:space="preserve"> </w:t>
      </w:r>
      <w:r>
        <w:rPr>
          <w:bCs/>
          <w:b/>
        </w:rPr>
        <w:t xml:space="preserve">Kyoto Japan</w:t>
      </w:r>
      <w:r>
        <w:t xml:space="preserve">[25]</w:t>
      </w:r>
      <w:r>
        <w:t xml:space="preserve">.</w:t>
      </w:r>
    </w:p>
    <w:bookmarkEnd w:id="29"/>
    <w:bookmarkStart w:id="30" w:name="X852232cc049dd5b5893e94182e61b059ce59aaa"/>
    <w:p>
      <w:pPr>
        <w:pStyle w:val="Heading2"/>
      </w:pPr>
      <w:r>
        <w:t xml:space="preserve">6. Recommendations for Academic Institutions</w:t>
      </w:r>
    </w:p>
    <w:p>
      <w:pPr>
        <w:pStyle w:val="FirstParagraph"/>
      </w:pPr>
      <w:r>
        <w:t xml:space="preserve">Based on this</w:t>
      </w:r>
      <w:r>
        <w:t xml:space="preserve"> </w:t>
      </w:r>
      <w:r>
        <w:rPr>
          <w:bCs/>
          <w:b/>
        </w:rPr>
        <w:t xml:space="preserve">case study</w:t>
      </w:r>
      <w:r>
        <w:t xml:space="preserve">[26]</w:t>
      </w:r>
      <w:r>
        <w:t xml:space="preserve">, universities operating in</w:t>
      </w:r>
      <w:r>
        <w:t xml:space="preserve"> </w:t>
      </w:r>
      <w:r>
        <w:rPr>
          <w:bCs/>
          <w:b/>
        </w:rPr>
        <w:t xml:space="preserve">Kyoto Japan</w:t>
      </w:r>
      <w:r>
        <w:t xml:space="preserve">[27]</w:t>
      </w:r>
      <w:r>
        <w:t xml:space="preserve"> </w:t>
      </w:r>
      <w:r>
        <w:t xml:space="preserve">should implement the following strategies to support their faculty:</w:t>
      </w:r>
    </w:p>
    <w:p>
      <w:pPr>
        <w:numPr>
          <w:ilvl w:val="0"/>
          <w:numId w:val="1002"/>
        </w:numPr>
        <w:pStyle w:val="Compact"/>
      </w:pPr>
      <w:r>
        <w:rPr>
          <w:bCs/>
          <w:b/>
        </w:rPr>
        <w:t xml:space="preserve">Cultural Training:</w:t>
      </w:r>
      <w:r>
        <w:t xml:space="preserve"> </w:t>
      </w:r>
      <w:r>
        <w:t xml:space="preserve">Mandatory workshops on Japanese business etiquette and academic hierarchy for all incoming international</w:t>
      </w:r>
      <w:r>
        <w:t xml:space="preserve"> </w:t>
      </w:r>
      <w:r>
        <w:rPr>
          <w:bCs/>
          <w:b/>
        </w:rPr>
        <w:t xml:space="preserve">Professors</w:t>
      </w:r>
      <w:r>
        <w:t xml:space="preserve">.</w:t>
      </w:r>
    </w:p>
    <w:p>
      <w:pPr>
        <w:numPr>
          <w:ilvl w:val="0"/>
          <w:numId w:val="1002"/>
        </w:numPr>
        <w:pStyle w:val="Compact"/>
      </w:pPr>
      <w:r>
        <w:rPr>
          <w:bCs/>
          <w:b/>
        </w:rPr>
        <w:t xml:space="preserve">Mentorship Programs:</w:t>
      </w:r>
      <w:r>
        <w:t xml:space="preserve">Pairsing new faculty with senior Japanese professors to learn the implicit rules of the university.</w:t>
      </w:r>
    </w:p>
    <w:p>
      <w:pPr>
        <w:numPr>
          <w:ilvl w:val="0"/>
          <w:numId w:val="1002"/>
        </w:numPr>
        <w:pStyle w:val="Compact"/>
      </w:pPr>
      <w:r>
        <w:rPr>
          <w:bCs/>
          <w:b/>
        </w:rPr>
        <w:t xml:space="preserve">Balanced Metrics:</w:t>
      </w:r>
      <w:r>
        <w:t xml:space="preserve"> </w:t>
      </w:r>
      <w:r>
        <w:t xml:space="preserve">Evaluating</w:t>
      </w:r>
    </w:p>
    <w:p>
      <w:pPr>
        <w:numPr>
          <w:ilvl w:val="0"/>
          <w:numId w:val="1000"/>
        </w:numPr>
        <w:pStyle w:val="Compact"/>
      </w:pPr>
      <w:r>
        <w:t xml:space="preserve">Professors not only on publication counts but also on community engagement and local cultural contributions.</w:t>
      </w:r>
    </w:p>
    <w:bookmarkEnd w:id="30"/>
    <w:bookmarkStart w:id="31" w:name="conclusion"/>
    <w:p>
      <w:pPr>
        <w:pStyle w:val="Heading2"/>
      </w:pPr>
      <w:r>
        <w:t xml:space="preserve">7. Conclusion</w:t>
      </w:r>
    </w:p>
    <w:p>
      <w:pPr>
        <w:pStyle w:val="FirstParagraph"/>
      </w:pPr>
      <w:r>
        <w:t xml:space="preserve">In conclusion, the role of a</w:t>
      </w:r>
      <w:r>
        <w:t xml:space="preserve"> </w:t>
      </w:r>
      <w:r>
        <w:rPr>
          <w:bCs/>
          <w:b/>
        </w:rPr>
        <w:t xml:space="preserve">Professor</w:t>
      </w:r>
      <w:r>
        <w:t xml:space="preserve">[28]</w:t>
      </w:r>
    </w:p>
    <w:p>
      <w:pPr>
        <w:pStyle w:val="BodyText"/>
      </w:pPr>
      <w:r>
        <w:t xml:space="preserve">in</w:t>
      </w:r>
      <w:r>
        <w:t xml:space="preserve"> </w:t>
      </w:r>
      <w:r>
        <w:rPr>
          <w:bCs/>
          <w:b/>
        </w:rPr>
        <w:t xml:space="preserve">Kyoto Japan</w:t>
      </w:r>
      <w:r>
        <w:t xml:space="preserve">[29]</w:t>
      </w:r>
      <w:r>
        <w:t xml:space="preserve"> </w:t>
      </w:r>
      <w:r>
        <w:t xml:space="preserve">is complex and multifaceted. It extends far beyond the classroom, encompassing cultural preservation, social harmony maintenance, and global academic representation. This</w:t>
      </w:r>
    </w:p>
    <w:p>
      <w:pPr>
        <w:pStyle w:val="BodyText"/>
      </w:pPr>
      <w:r>
        <w:t xml:space="preserve">case study demonstrates that success in this environment requires a delicate balance of modern academic rigor and traditional Japanese respect for history and hierarchy. As globalization continues to reshape higher education, the unique position of the</w:t>
      </w:r>
      <w:r>
        <w:t xml:space="preserve"> </w:t>
      </w:r>
      <w:r>
        <w:rPr>
          <w:bCs/>
          <w:b/>
        </w:rPr>
        <w:t xml:space="preserve">Professor</w:t>
      </w:r>
      <w:r>
        <w:t xml:space="preserve">[30]</w:t>
      </w:r>
      <w:r>
        <w:t xml:space="preserve"> </w:t>
      </w:r>
      <w:r>
        <w:t xml:space="preserve">in</w:t>
      </w:r>
      <w:r>
        <w:t xml:space="preserve"> </w:t>
      </w:r>
      <w:r>
        <w:rPr>
          <w:bCs/>
          <w:b/>
        </w:rPr>
        <w:t xml:space="preserve">Kyoto Japan</w:t>
      </w:r>
      <w:r>
        <w:t xml:space="preserve">[31]</w:t>
      </w:r>
      <w:r>
        <w:t xml:space="preserve"> </w:t>
      </w:r>
      <w:r>
        <w:t xml:space="preserve">serves as a vital model for integrating local identity with global academic standards.</w:t>
      </w:r>
    </w:p>
    <w:p>
      <w:pPr>
        <w:pStyle w:val="BodyText"/>
      </w:pPr>
      <w:r>
        <w:t xml:space="preserve">The insights gained from this analysis provide a framework for understanding how location shapes professional identity. For any institution looking to establish or strengthen its presence in</w:t>
      </w:r>
      <w:r>
        <w:t xml:space="preserve"> </w:t>
      </w:r>
      <w:r>
        <w:rPr>
          <w:bCs/>
          <w:b/>
        </w:rPr>
        <w:t xml:space="preserve">Kyoto Japan</w:t>
      </w:r>
      <w:r>
        <w:t xml:space="preserve">[32]</w:t>
      </w:r>
      <w:r>
        <w:t xml:space="preserve">, respecting the nuanced role of the</w:t>
      </w:r>
      <w:r>
        <w:t xml:space="preserve"> </w:t>
      </w:r>
      <w:r>
        <w:rPr>
          <w:bCs/>
          <w:b/>
        </w:rPr>
        <w:t xml:space="preserve">Professor</w:t>
      </w:r>
      <w:r>
        <w:t xml:space="preserve">[33]</w:t>
      </w:r>
      <w:r>
        <w:t xml:space="preserve"> </w:t>
      </w:r>
      <w:r>
        <w:t xml:space="preserve">is paramount. The interplay between the individual academic and the collective cultural environment of</w:t>
      </w:r>
      <w:r>
        <w:t xml:space="preserve"> </w:t>
      </w:r>
      <w:r>
        <w:rPr>
          <w:bCs/>
          <w:b/>
        </w:rPr>
        <w:t xml:space="preserve">Kyoto Japan</w:t>
      </w:r>
      <w:r>
        <w:t xml:space="preserve">[34]</w:t>
      </w:r>
      <w:r>
        <w:t xml:space="preserve"> </w:t>
      </w:r>
      <w:r>
        <w:t xml:space="preserve">defines the future of scholarly engagement in this historic region.</w:t>
      </w:r>
    </w:p>
    <w:p>
      <w:r>
        <w:pict>
          <v:rect style="width:0;height:1.5pt" o:hralign="center" o:hrstd="t" o:hr="t"/>
        </w:pict>
      </w:r>
    </w:p>
    <w:p>
      <w:pPr>
        <w:pStyle w:val="FirstParagraph"/>
      </w:pPr>
      <w:r>
        <w:rPr>
          <w:iCs/>
          <w:i/>
        </w:rPr>
        <w:t xml:space="preserve">Note: This document is a fictionalized</w:t>
      </w:r>
      <w:r>
        <w:rPr>
          <w:iCs/>
          <w:i/>
        </w:rPr>
        <w:t xml:space="preserve"> </w:t>
      </w:r>
      <w:r>
        <w:rPr>
          <w:bCs/>
          <w:b/>
          <w:iCs/>
          <w:i/>
        </w:rPr>
        <w:t xml:space="preserve">case study</w:t>
      </w:r>
      <w:r>
        <w:rPr>
          <w:iCs/>
          <w:i/>
        </w:rPr>
        <w:t xml:space="preserve">[35]</w:t>
      </w:r>
      <w:r>
        <w:rPr>
          <w:iCs/>
          <w:i/>
        </w:rPr>
        <w:t xml:space="preserve"> </w:t>
      </w:r>
      <w:r>
        <w:rPr>
          <w:iCs/>
          <w:i/>
        </w:rPr>
        <w:t xml:space="preserve">created for educational and illustrative purposes regarding academic practices in</w:t>
      </w:r>
      <w:r>
        <w:rPr>
          <w:iCs/>
          <w:i/>
        </w:rPr>
        <w:t xml:space="preserve"> </w:t>
      </w:r>
      <w:r>
        <w:rPr>
          <w:bCs/>
          <w:b/>
          <w:iCs/>
          <w:i/>
        </w:rPr>
        <w:t xml:space="preserve">Kyoto Japan</w:t>
      </w:r>
      <w:r>
        <w:rPr>
          <w:iCs/>
          <w:i/>
        </w:rPr>
        <w:t xml:space="preserve">[36]</w:t>
      </w:r>
      <w:r>
        <w:rPr>
          <w:iCs/>
          <w:i/>
        </w:rPr>
        <w:t xml:space="preserve">. All references to specific individuals are anonymized.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Integration in Tradition: A Case Study of the Professor in Japan Kyoto</dc:title>
  <dc:creator/>
  <dc:language>en</dc:language>
  <cp:keywords/>
  <dcterms:created xsi:type="dcterms:W3CDTF">2026-07-29T15:22:44Z</dcterms:created>
  <dcterms:modified xsi:type="dcterms:W3CDTF">2026-07-29T15:22:44Z</dcterms:modified>
</cp:coreProperties>
</file>

<file path=docProps/custom.xml><?xml version="1.0" encoding="utf-8"?>
<Properties xmlns="http://schemas.openxmlformats.org/officeDocument/2006/custom-properties" xmlns:vt="http://schemas.openxmlformats.org/officeDocument/2006/docPropsVTypes"/>
</file>