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Professor</w:t>
      </w:r>
      <w:r>
        <w:t xml:space="preserve"> </w:t>
      </w:r>
      <w:r>
        <w:t xml:space="preserve">in</w:t>
      </w:r>
      <w:r>
        <w:t xml:space="preserve"> </w:t>
      </w:r>
      <w:r>
        <w:t xml:space="preserve">Kazakhstan</w:t>
      </w:r>
      <w:r>
        <w:t xml:space="preserve"> </w:t>
      </w:r>
      <w:r>
        <w:t xml:space="preserve">Almaty</w:t>
      </w:r>
    </w:p>
    <w:bookmarkStart w:id="30" w:name="X6c8d8e75f053d574c8f3d2ce4c8983942d6dfba"/>
    <w:p>
      <w:pPr>
        <w:pStyle w:val="Heading1"/>
      </w:pPr>
      <w:r>
        <w:t xml:space="preserve">A Decade of Academic Transformation A Case Study on The Professor in Kazakhstan Almaty</w:t>
      </w:r>
    </w:p>
    <w:p>
      <w:pPr>
        <w:pStyle w:val="FirstParagraph"/>
      </w:pPr>
      <w:r>
        <w:rPr>
          <w:bCs/>
          <w:b/>
        </w:rPr>
        <w:t xml:space="preserve">Date:</w:t>
      </w:r>
      <w:r>
        <w:t xml:space="preserve"> October 2023</w:t>
      </w:r>
      <w:r>
        <w:br/>
      </w:r>
      <w:r>
        <w:rPr>
          <w:bCs/>
          <w:b/>
        </w:rPr>
        <w:t xml:space="preserve">Subject:</w:t>
      </w:r>
      <w:r>
        <w:t xml:space="preserve"> Higher Education Reform and Cultural Integration</w:t>
      </w:r>
      <w:r>
        <w:br/>
      </w:r>
      <w:r>
        <w:rPr>
          <w:bCs/>
          <w:b/>
        </w:rPr>
        <w:t xml:space="preserve">Location Focus: </w:t>
      </w:r>
      <w:r>
        <w:t xml:space="preserve">Kazakhstan Almaty</w:t>
      </w:r>
    </w:p>
    <w:bookmarkStart w:id="20" w:name="executive-summary"/>
    <w:p>
      <w:pPr>
        <w:pStyle w:val="Heading2"/>
      </w:pPr>
      <w:r>
        <w:t xml:space="preserve">1. Executive Summary</w:t>
      </w:r>
    </w:p>
    <w:p>
      <w:pPr>
        <w:pStyle w:val="FirstParagraph"/>
      </w:pPr>
      <w:r>
        <w:t xml:space="preserve">This document serves as an in-depth case study analyzing the pivotal role of a senior academic figure, referred to herein as "The Professor," within the dynamic educational landscape of Kazakhstan Almaty over the past ten years. Kazakhstan Almaty has emerged not merely as a regional hub but as a central node for academic innovation in Central Asia. The narrative focuses on how The Professor navigated complex geopolitical shifts, cultural transitions, and institutional reforms to modernize curricula and foster international partnerships. This analysis highlights the challenges of implementing Western-style pedagogical methods within traditional Eastern frameworks and offers lessons for global higher education reform.</w:t>
      </w:r>
    </w:p>
    <w:bookmarkEnd w:id="20"/>
    <w:bookmarkStart w:id="21" w:name="X09730f76c990041b3f34bd0733922d892dab049"/>
    <w:p>
      <w:pPr>
        <w:pStyle w:val="Heading2"/>
      </w:pPr>
      <w:r>
        <w:t xml:space="preserve">2. Contextual Background: The Landscape of Kazakhstan Almaty</w:t>
      </w:r>
    </w:p>
    <w:p>
      <w:pPr>
        <w:pStyle w:val="FirstParagraph"/>
      </w:pPr>
      <w:r>
        <w:t xml:space="preserve">Before examining The Professor's contributions, it is essential to understand the environment in Kazakhstan Almaty. Historically known as Alma-Ata until 1993, this city served as the capital of Kazakhstan and remains its cultural and scientific heart. Unlike Nur-Sultan (now Astana), which serves as the administrative and political center, Kazakhstan Almaty is characterized by a vibrant intellectual atmosphere, historical ties to Russian academic traditions, and a growing ambition to integrate into global English-language academic networks.</w:t>
      </w:r>
    </w:p>
    <w:p>
      <w:pPr>
        <w:pStyle w:val="BodyText"/>
      </w:pPr>
      <w:r>
        <w:t xml:space="preserve">In recent decades, Kazakhstan Almaty has undergone significant economic expansion driven by energy resources and strategic geographic positioning between Europe and Asia. This prosperity funded substantial investments in education. The government aimed to transform local universities into world-class institutions capable of competing with European and Asian counterparts. However, this ambition faced hurdles related to language barriers (shifting from Russian-dominant instruction to English-medium programs), outdated infrastructure, and a conservative faculty body resistant to change.</w:t>
      </w:r>
    </w:p>
    <w:bookmarkEnd w:id="21"/>
    <w:bookmarkStart w:id="22" w:name="introduction-of-the-professor"/>
    <w:p>
      <w:pPr>
        <w:pStyle w:val="Heading2"/>
      </w:pPr>
      <w:r>
        <w:t xml:space="preserve">3. Introduction of The Professor</w:t>
      </w:r>
    </w:p>
    <w:p>
      <w:pPr>
        <w:pStyle w:val="FirstParagraph"/>
      </w:pPr>
      <w:r>
        <w:t xml:space="preserve">The central figure of this case study is The Professor, a distinguished scholar who returned to Kazakhstan Almaty after two decades of research and teaching in Western universities. Upon arrival, he was appointed as the Head of the Department for Advanced Studies at one of Kazakhstan Almaty's premier institutions. His mandate was clear yet daunting: revitalize the department’s international reputation and align its programs with global standards while respecting local cultural nuances.</w:t>
      </w:r>
    </w:p>
    <w:p>
      <w:pPr>
        <w:pStyle w:val="BodyText"/>
      </w:pPr>
      <w:r>
        <w:t xml:space="preserve">The Professor arrived with a dual objective. First, he sought to introduce critical thinking and student-centered learning models, replacing rote memorization techniques prevalent in the region. Second, he aimed to establish robust exchange programs that would allow students from Kazakhstan Almaty to gain international exposure without having to leave their home country permanently.</w:t>
      </w:r>
    </w:p>
    <w:bookmarkEnd w:id="22"/>
    <w:bookmarkStart w:id="26" w:name="Xe28e7b34dd43d8d12898c8ecaeca8af0154c544"/>
    <w:p>
      <w:pPr>
        <w:pStyle w:val="Heading2"/>
      </w:pPr>
      <w:r>
        <w:t xml:space="preserve">4. Strategic Initiatives Implemented by The Professor</w:t>
      </w:r>
    </w:p>
    <w:bookmarkStart w:id="23" w:name="X8b63071a7cfd85eb299228d18e657da2683821b"/>
    <w:p>
      <w:pPr>
        <w:pStyle w:val="Heading3"/>
      </w:pPr>
      <w:r>
        <w:rPr>
          <w:bCs/>
          <w:b/>
        </w:rPr>
        <w:t xml:space="preserve">a) Curriculum Modernization and English-Medium Instruction</w:t>
      </w:r>
    </w:p>
    <w:p>
      <w:pPr>
        <w:pStyle w:val="FirstParagraph"/>
      </w:pPr>
      <w:r>
        <w:t xml:space="preserve">One of the earliest challenges faced by The Professor was the language barrier. While many senior academics were fluent in Russian, proficiency in English among both staff and students was low. To address this, The Professor spearheaded a pilot program where core scientific modules were taught entirely in English. He recruited native-speaking adjunct professors from Kazakhstan Almaty's international community and partnered with universities abroad to provide training for local faculty.</w:t>
      </w:r>
    </w:p>
    <w:p>
      <w:pPr>
        <w:pStyle w:val="BodyText"/>
      </w:pPr>
      <w:r>
        <w:t xml:space="preserve">Resistance was initially fierce. Senior colleagues argued that teaching science in a non-native language would dilute technical understanding. The Professor countered this by demonstrating data showing that bilingual education enhances cognitive flexibility. Over five years, the pilot program expanded across three faculties, becoming a model adopted by other universities in Kazakhstan Almaty.</w:t>
      </w:r>
    </w:p>
    <w:bookmarkEnd w:id="23"/>
    <w:bookmarkStart w:id="24" w:name="b-bridging-tradition-and-innovation"/>
    <w:p>
      <w:pPr>
        <w:pStyle w:val="Heading3"/>
      </w:pPr>
      <w:r>
        <w:rPr>
          <w:bCs/>
          <w:b/>
        </w:rPr>
        <w:t xml:space="preserve">b) Bridging Tradition and Innovation</w:t>
      </w:r>
    </w:p>
    <w:p>
      <w:pPr>
        <w:pStyle w:val="FirstParagraph"/>
      </w:pPr>
      <w:r>
        <w:t xml:space="preserve">A critical aspect of The Professor's strategy was respecting local heritage while pushing for modernization. He recognized that abrupt changes could alienate the faculty and students rooted in traditional Kazakh values. Therefore, he introduced "Hybrid Seminars." These sessions combined traditional lecture formats with active learning techniques such as case studies, group debates, and problem-based learning.</w:t>
      </w:r>
    </w:p>
    <w:p>
      <w:pPr>
        <w:pStyle w:val="BodyText"/>
      </w:pPr>
      <w:r>
        <w:t xml:space="preserve">By integrating local case studies from Kazakhstan Almaty—such as energy sector sustainability or urban planning issues—into the global curriculum framework, The Professor made the education relevant to students' lives. This approach increased engagement significantly. Students saw themselves not just as passive recipients of knowledge but as potential contributors to national development.</w:t>
      </w:r>
    </w:p>
    <w:bookmarkEnd w:id="24"/>
    <w:bookmarkStart w:id="25" w:name="X70905b0ad98428d7e991e9e402913a8afcf28e8"/>
    <w:p>
      <w:pPr>
        <w:pStyle w:val="Heading3"/>
      </w:pPr>
      <w:r>
        <w:rPr>
          <w:bCs/>
          <w:b/>
        </w:rPr>
        <w:t xml:space="preserve">c) Establishing International Partnerships</w:t>
      </w:r>
    </w:p>
    <w:p>
      <w:pPr>
        <w:pStyle w:val="FirstParagraph"/>
      </w:pPr>
      <w:r>
        <w:t xml:space="preserve">The Professor leveraged his international network to forge partnerships with universities in Europe, the United States, and East Asia. He negotiated dual-degree programs allowing students from Kazakhstan Almaty to spend their junior year abroad while earning credits recognized by both institutions. Furthermore, he facilitated joint research projects focusing on regional issues like water management in Central Asia and renewable energy transitions.</w:t>
      </w:r>
    </w:p>
    <w:p>
      <w:pPr>
        <w:pStyle w:val="BodyText"/>
      </w:pPr>
      <w:r>
        <w:t xml:space="preserve">These collaborations brought external funding into Kazakhstan Almaty, improving laboratory facilities and providing scholarships for underprivileged students. The visibility of these partnerships elevated the status of the institution within Kazakhstan Almaty and attracted top-tier talent from abroad.</w:t>
      </w:r>
    </w:p>
    <w:bookmarkEnd w:id="25"/>
    <w:bookmarkEnd w:id="26"/>
    <w:bookmarkStart w:id="27" w:name="challenges-faced"/>
    <w:p>
      <w:pPr>
        <w:pStyle w:val="Heading2"/>
      </w:pPr>
      <w:r>
        <w:t xml:space="preserve">5. Challenges Faced</w:t>
      </w:r>
    </w:p>
    <w:p>
      <w:pPr>
        <w:pStyle w:val="FirstParagraph"/>
      </w:pPr>
      <w:r>
        <w:t xml:space="preserve">Despite successes, The Professor encountered significant obstacles:</w:t>
      </w:r>
    </w:p>
    <w:p>
      <w:pPr>
        <w:numPr>
          <w:ilvl w:val="0"/>
          <w:numId w:val="1001"/>
        </w:numPr>
        <w:pStyle w:val="Compact"/>
      </w:pPr>
      <w:r>
        <w:rPr>
          <w:bCs/>
          <w:b/>
        </w:rPr>
        <w:t xml:space="preserve">Bureaucratic Inertia:</w:t>
      </w:r>
      <w:r>
        <w:t xml:space="preserve"> Government regulations in Kazakhstan Almaty often lagged behind institutional ambitions. Approval processes for new programs were slow and cumbersome.</w:t>
      </w:r>
    </w:p>
    <w:p>
      <w:pPr>
        <w:numPr>
          <w:ilvl w:val="0"/>
          <w:numId w:val="1001"/>
        </w:numPr>
        <w:pStyle w:val="Compact"/>
      </w:pPr>
      <w:r>
        <w:rPr>
          <w:bCs/>
          <w:b/>
        </w:rPr>
        <w:t xml:space="preserve">Cultural Pushback: </w:t>
      </w:r>
      <w:r>
        <w:t xml:space="preserve">In some conservative circles, the emphasis on critical questioning was viewed as disrespectful to authority figures. The Professor had to navigate these sensitivities carefully, emphasizing that inquiry leads to better societal outcomes.</w:t>
      </w:r>
    </w:p>
    <w:p>
      <w:pPr>
        <w:numPr>
          <w:ilvl w:val="0"/>
          <w:numId w:val="1001"/>
        </w:numPr>
        <w:pStyle w:val="Compact"/>
      </w:pPr>
      <w:r>
        <w:rPr>
          <w:bCs/>
          <w:b/>
        </w:rPr>
        <w:t xml:space="preserve">Funding Constraints: </w:t>
      </w:r>
      <w:r>
        <w:t xml:space="preserve">While initial investments were strong, sustaining long-term international collaboration required consistent funding. Economic fluctuations in Kazakhstan Almaty occasionally impacted budget allocations for academic exchanges.</w:t>
      </w:r>
    </w:p>
    <w:bookmarkEnd w:id="27"/>
    <w:bookmarkStart w:id="28" w:name="outcomes-and-impact"/>
    <w:p>
      <w:pPr>
        <w:pStyle w:val="Heading2"/>
      </w:pPr>
      <w:r>
        <w:t xml:space="preserve"> 6. Outcomes and Impact</w:t>
      </w:r>
    </w:p>
    <w:p>
      <w:pPr>
        <w:pStyle w:val="FirstParagraph"/>
      </w:pPr>
      <w:r>
        <w:t xml:space="preserve">A decade after The Professor's appointment, the outcomes have been profound:</w:t>
      </w:r>
    </w:p>
    <w:p>
      <w:pPr>
        <w:numPr>
          <w:ilvl w:val="0"/>
          <w:numId w:val="1002"/>
        </w:numPr>
        <w:pStyle w:val="Compact"/>
      </w:pPr>
      <w:r>
        <w:rPr>
          <w:bCs/>
          <w:b/>
        </w:rPr>
        <w:t xml:space="preserve">Rising Rankings: </w:t>
      </w:r>
      <w:r>
        <w:t xml:space="preserve">The university where The Professor serves has climbed significantly in global rankings for social sciences and natural sciences.</w:t>
      </w:r>
    </w:p>
    <w:p>
      <w:pPr>
        <w:numPr>
          <w:ilvl w:val="0"/>
          <w:numId w:val="1002"/>
        </w:numPr>
        <w:pStyle w:val="Compact"/>
      </w:pPr>
      <w:r>
        <w:rPr>
          <w:bCs/>
          <w:b/>
        </w:rPr>
        <w:t xml:space="preserve">Global Alumni Network: </w:t>
      </w:r>
      <w:r>
        <w:t xml:space="preserve">Hundreds of graduates from Kazakhstan Almaty are now working in international organizations, having benefited from the exchange programs initiated by The Professor.</w:t>
      </w:r>
    </w:p>
    <w:p>
      <w:pPr>
        <w:numPr>
          <w:ilvl w:val="0"/>
          <w:numId w:val="1002"/>
        </w:numPr>
        <w:pStyle w:val="Compact"/>
      </w:pPr>
      <w:r>
        <w:rPr>
          <w:bCs/>
          <w:b/>
        </w:rPr>
        <w:t xml:space="preserve">Cultural Shift: </w:t>
      </w:r>
      <w:r>
        <w:t xml:space="preserve">A new generation of academics in Kazakhstan Almaty embraces innovation and critical discourse. The stigma associated with challenging established ideas has diminished.</w:t>
      </w:r>
    </w:p>
    <w:bookmarkEnd w:id="28"/>
    <w:bookmarkStart w:id="29" w:name="conclusion"/>
    <w:p>
      <w:pPr>
        <w:pStyle w:val="Heading2"/>
      </w:pPr>
      <w:r>
        <w:t xml:space="preserve"> 7. Conclusion</w:t>
      </w:r>
    </w:p>
    <w:p>
      <w:pPr>
        <w:pStyle w:val="FirstParagraph"/>
      </w:pPr>
      <w:r>
        <w:t xml:space="preserve">This case study illustrates that successful academic leadership requires more than just intellectual prowess; it demands cultural intelligence and strategic patience. The Professor in Kazakhstan Almaty demonstrated that local traditions and global standards need not be mutually exclusive. By respecting the unique context of Kazakhstan Almaty while aggressively pursuing international integration, The Professor has set a benchmark for educational reform in post-Soviet Central Asia.</w:t>
      </w:r>
    </w:p>
    <w:p>
      <w:pPr>
        <w:pStyle w:val="BodyText"/>
      </w:pPr>
      <w:r>
        <w:t xml:space="preserve">The story of The Professor offers valuable insights for policymakers, educators, and institution builders worldwide. It underscores the importance of localized adaptation in global educational strategies and highlights Kazakhstan Almaty's evolving role as a bridge between Eastern and Western academic traditions. As Kazakhstan continues to develop, figures like The Professor will remain crucial in shaping its future intellectual capital.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Professor in Kazakhstan Almaty</dc:title>
  <dc:creator/>
  <dc:language>en</dc:language>
  <cp:keywords/>
  <dcterms:created xsi:type="dcterms:W3CDTF">2026-07-29T14:15:20Z</dcterms:created>
  <dcterms:modified xsi:type="dcterms:W3CDTF">2026-07-29T14:15:20Z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