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Wellington</w:t>
      </w:r>
    </w:p>
    <w:bookmarkStart w:id="28" w:name="X7586bc2320ab2834e43c7c7797178a496399e3f"/>
    <w:p>
      <w:pPr>
        <w:pStyle w:val="Heading1"/>
      </w:pPr>
      <w:r>
        <w:t xml:space="preserve">The Academic Nexus: A Case Study of Professor Aris Thorne in New Zealand Wellington</w:t>
      </w:r>
    </w:p>
    <w:p>
      <w:pPr>
        <w:pStyle w:val="FirstParagraph"/>
      </w:pPr>
      <w:r>
        <w:rPr>
          <w:bCs/>
          <w:b/>
        </w:rPr>
        <w:t xml:space="preserve">Date:</w:t>
      </w:r>
      <w:r>
        <w:t xml:space="preserve"> </w:t>
      </w:r>
      <w:r>
        <w:t xml:space="preserve">October 24, 2023</w:t>
      </w:r>
      <w:r>
        <w:br/>
      </w:r>
      <w:r>
        <w:rPr>
          <w:bCs/>
          <w:b/>
        </w:rPr>
        <w:t xml:space="preserve">Subject:</w:t>
      </w:r>
      <w:r>
        <w:t xml:space="preserve">Professor</w:t>
      </w:r>
      <w:r>
        <w:t xml:space="preserve"> </w:t>
      </w:r>
      <w:r>
        <w:t xml:space="preserve">Aris Thorne (Emeritus)</w:t>
      </w:r>
      <w:r>
        <w:br/>
      </w:r>
    </w:p>
    <w:p>
      <w:pPr>
        <w:pStyle w:val="BodyText"/>
      </w:pPr>
      <w:r>
        <w:t xml:space="preserve">Location:: New Zealand Wellington</w:t>
      </w:r>
      <w:r>
        <w:br/>
      </w:r>
      <w:r>
        <w:rPr>
          <w:bCs/>
          <w:b/>
        </w:rPr>
        <w:t xml:space="preserve">Status:</w:t>
      </w:r>
      <w:r>
        <w:t xml:space="preserve"> </w:t>
      </w:r>
      <w:r>
        <w:t xml:space="preserve">In Progress / Active Review</w:t>
      </w:r>
      <w:r>
        <w:br/>
      </w:r>
    </w:p>
    <w:bookmarkStart w:id="20" w:name="introduction-and-background"/>
    <w:p>
      <w:pPr>
        <w:pStyle w:val="Heading2"/>
      </w:pPr>
      <w:r>
        <w:t xml:space="preserve">1. Introduction and Background</w:t>
      </w:r>
    </w:p>
    <w:p>
      <w:pPr>
        <w:pStyle w:val="FirstParagraph"/>
      </w:pPr>
      <w:r>
        <w:t xml:space="preserve">The city of New Zealand Wellington, often described as the cultural capital and the political heart of the nation, presents a unique ecosystem for academic inquiry. Nestled between the rolling hills and the vibrant harbor, it serves as a hub for critical thinking, policy-making, and innovation. At the center of this intellectual storm stands</w:t>
      </w:r>
      <w:r>
        <w:t xml:space="preserve"> </w:t>
      </w:r>
      <w:r>
        <w:t xml:space="preserve">Professor</w:t>
      </w:r>
      <w:r>
        <w:t xml:space="preserve"> </w:t>
      </w:r>
      <w:r>
        <w:t xml:space="preserve">Aris Thorne. This case study explores his pivotal role within the New Zealand Wellington academic community, specifically focusing on his interdisciplinary approach to urban sustainability and social equity.</w:t>
      </w:r>
    </w:p>
    <w:p>
      <w:pPr>
        <w:pStyle w:val="BodyText"/>
      </w:pPr>
      <w:r>
        <w:rPr>
          <w:bCs/>
          <w:b/>
        </w:rPr>
        <w:t xml:space="preserve">Professor</w:t>
      </w:r>
      <w:r>
        <w:t xml:space="preserve"> </w:t>
      </w:r>
      <w:r>
        <w:t xml:space="preserve">Thorne did not arrive in this region by accident. His tenure at Victoria University of Wellington has been characterized by a rigorous commitment to bridging the gap between theoretical research and practical application. The specific geography of New Zealand Wellington, with its seismic activity, dense urban planning challenges, and progressive environmental policies, provides the perfect laboratory for his work.</w:t>
      </w:r>
    </w:p>
    <w:bookmarkEnd w:id="20"/>
    <w:bookmarkStart w:id="21" w:name="X452c474972250caab66add36d1bed2e65bd0b65"/>
    <w:p>
      <w:pPr>
        <w:pStyle w:val="Heading2"/>
      </w:pPr>
      <w:r>
        <w:t xml:space="preserve">2. The Role of the Professor in Regional Development</w:t>
      </w:r>
    </w:p>
    <w:p>
      <w:pPr>
        <w:pStyle w:val="FirstParagraph"/>
      </w:pPr>
      <w:r>
        <w:t xml:space="preserve">In many global cities, a</w:t>
      </w:r>
      <w:r>
        <w:t xml:space="preserve"> </w:t>
      </w:r>
      <w:r>
        <w:rPr>
          <w:bCs/>
          <w:b/>
        </w:rPr>
        <w:t xml:space="preserve">Professor</w:t>
      </w:r>
      <w:r>
        <w:t xml:space="preserve"> </w:t>
      </w:r>
      <w:r>
        <w:t xml:space="preserve">may remain isolated within the ivory tower of academia. However, in New Zealand Wellington, the role is distinctly different. It is deeply embedded in civic life. The case study highlights how</w:t>
      </w:r>
      <w:r>
        <w:t xml:space="preserve"> </w:t>
      </w:r>
      <w:r>
        <w:t xml:space="preserve">Professor</w:t>
      </w:r>
      <w:r>
        <w:t xml:space="preserve"> </w:t>
      </w:r>
      <w:r>
        <w:t xml:space="preserve">Thorne acts as a conduit between government bodies, such as the Wellington City Council and Te Papa Tongarewa (Museum of New Zealand), and the broader academic community.</w:t>
      </w:r>
    </w:p>
    <w:p>
      <w:pPr>
        <w:pStyle w:val="BodyText"/>
      </w:pPr>
      <w:r>
        <w:t xml:space="preserve">The primary objective of this study is to analyze how a senior academic figure influences regional policy. In New Zealand Wellington, where small population density contrasts with high intellectual capital, the voice of a respected</w:t>
      </w:r>
      <w:r>
        <w:t xml:space="preserve"> </w:t>
      </w:r>
      <w:r>
        <w:rPr>
          <w:bCs/>
          <w:b/>
        </w:rPr>
        <w:t xml:space="preserve">Professor</w:t>
      </w:r>
      <w:r>
        <w:t xml:space="preserve"> </w:t>
      </w:r>
      <w:r>
        <w:t xml:space="preserve">carries significant weight in public discourse. Thorne’s recent work on "Resilient Infrastructure in Seismic Zones" has directly influenced building codes and urban planning strategies across the region.</w:t>
      </w:r>
    </w:p>
    <w:bookmarkEnd w:id="21"/>
    <w:bookmarkStart w:id="23" w:name="methodology-and-key-challenges"/>
    <w:p>
      <w:pPr>
        <w:pStyle w:val="Heading2"/>
      </w:pPr>
      <w:r>
        <w:t xml:space="preserve">3. Methodology and Key Challenges</w:t>
      </w:r>
    </w:p>
    <w:p>
      <w:pPr>
        <w:pStyle w:val="FirstParagraph"/>
      </w:pPr>
      <w:r>
        <w:t xml:space="preserve">The research methodology for this case study involved a six-month longitudinal analysis of</w:t>
      </w:r>
      <w:r>
        <w:t xml:space="preserve"> </w:t>
      </w:r>
      <w:r>
        <w:t xml:space="preserve">Professor</w:t>
      </w:r>
      <w:r>
        <w:t xml:space="preserve"> </w:t>
      </w:r>
      <w:r>
        <w:t xml:space="preserve">Thorne’s projects, including stakeholder interviews with local policymakers, student feedback surveys, and an examination of published papers produced within the New Zealand Wellington academic framework.</w:t>
      </w:r>
    </w:p>
    <w:bookmarkStart w:id="22" w:name="key-challenges-identified"/>
    <w:p>
      <w:pPr>
        <w:pStyle w:val="Heading3"/>
      </w:pPr>
      <w:r>
        <w:t xml:space="preserve">Key Challenges Identified:</w:t>
      </w:r>
    </w:p>
    <w:p>
      <w:pPr>
        <w:numPr>
          <w:ilvl w:val="0"/>
          <w:numId w:val="1001"/>
        </w:numPr>
        <w:pStyle w:val="Compact"/>
      </w:pPr>
      <w:r>
        <w:rPr>
          <w:bCs/>
          <w:b/>
        </w:rPr>
        <w:t xml:space="preserve">Bridging Cultural Gaps:</w:t>
      </w:r>
      <w:r>
        <w:t xml:space="preserve"> </w:t>
      </w:r>
      <w:r>
        <w:t xml:space="preserve">A significant portion of Thorne’s work in New Zealand Wellington involves integrating Māori perspectives (Te Ao Māori) into modern urban development. The case study examines how a Western-trained</w:t>
      </w:r>
      <w:r>
        <w:t xml:space="preserve"> </w:t>
      </w:r>
      <w:r>
        <w:rPr>
          <w:bCs/>
          <w:b/>
        </w:rPr>
        <w:t xml:space="preserve">Professor</w:t>
      </w:r>
      <w:r>
        <w:t xml:space="preserve"> </w:t>
      </w:r>
      <w:r>
        <w:t xml:space="preserve">navigates and respects indigenous knowledge systems.</w:t>
      </w:r>
    </w:p>
    <w:p>
      <w:pPr>
        <w:numPr>
          <w:ilvl w:val="0"/>
          <w:numId w:val="1001"/>
        </w:numPr>
        <w:pStyle w:val="Compact"/>
      </w:pPr>
      <w:r>
        <w:rPr>
          <w:bCs/>
          <w:b/>
        </w:rPr>
        <w:t xml:space="preserve">Funding Constraints:</w:t>
      </w:r>
      <w:r>
        <w:t xml:space="preserve"> </w:t>
      </w:r>
      <w:r>
        <w:t xml:space="preserve">New Zealand Wellington faces budgetary limitations typical of the national capital. Securing consistent funding for long-term academic projects requires strategic networking, a skill exemplified by our subject.</w:t>
      </w:r>
    </w:p>
    <w:p>
      <w:pPr>
        <w:numPr>
          <w:ilvl w:val="0"/>
          <w:numId w:val="1001"/>
        </w:numPr>
        <w:pStyle w:val="Compact"/>
      </w:pPr>
      <w:r>
        <w:rPr>
          <w:bCs/>
          <w:b/>
        </w:rPr>
        <w:t xml:space="preserve">Rapid Technological Change:</w:t>
      </w:r>
      <w:r>
        <w:t xml:space="preserve"> </w:t>
      </w:r>
      <w:r>
        <w:t xml:space="preserve">The pace of digital transformation in New Zealand Wellington requires academics to continuously adapt their teaching and research methods.</w:t>
      </w:r>
    </w:p>
    <w:bookmarkEnd w:id="22"/>
    <w:bookmarkEnd w:id="23"/>
    <w:bookmarkStart w:id="24" w:name="X0f048940e71f381e45bcec3c0bfa783eb69313b"/>
    <w:p>
      <w:pPr>
        <w:pStyle w:val="Heading2"/>
      </w:pPr>
      <w:r>
        <w:t xml:space="preserve">4. Case Analysis: The "Green Corridor" Initiative</w:t>
      </w:r>
    </w:p>
    <w:p>
      <w:pPr>
        <w:pStyle w:val="FirstParagraph"/>
      </w:pPr>
      <w:r>
        <w:t xml:space="preserve">A central pillar of this case study is the analysis of the "Green Corridor" initiative, led by</w:t>
      </w:r>
      <w:r>
        <w:t xml:space="preserve"> </w:t>
      </w:r>
      <w:r>
        <w:t xml:space="preserve">Professor</w:t>
      </w:r>
      <w:r>
        <w:t xml:space="preserve"> </w:t>
      </w:r>
      <w:r>
        <w:t xml:space="preserve">Thorne. This project aimed to reconnect fragmented urban green spaces in New Zealand Wellington through a series of pedestrian bridges and restored wetlands.</w:t>
      </w:r>
    </w:p>
    <w:p>
      <w:pPr>
        <w:pStyle w:val="BodyText"/>
      </w:pPr>
      <w:r>
        <w:rPr>
          <w:bCs/>
          <w:b/>
        </w:rPr>
        <w:t xml:space="preserve">The Professor’s Contribution:</w:t>
      </w:r>
    </w:p>
    <w:p>
      <w:pPr>
        <w:pStyle w:val="BodyText"/>
      </w:pPr>
      <w:r>
        <w:rPr>
          <w:bCs/>
          <w:b/>
        </w:rPr>
        <w:t xml:space="preserve">Professor</w:t>
      </w:r>
      <w:r>
        <w:t xml:space="preserve"> </w:t>
      </w:r>
      <w:r>
        <w:t xml:space="preserve">Thorne did not merely design the plan; he facilitated a community-led process. He organized town halls, consulted with local iwi (tribes), and managed a team of graduate students from New Zealand Wellington universities. His leadership style is described as "collaborative authoritative," ensuring that while academic rigor remains high, community input is genuinely valued.</w:t>
      </w:r>
    </w:p>
    <w:p>
      <w:pPr>
        <w:pStyle w:val="BodyText"/>
      </w:pPr>
      <w:r>
        <w:rPr>
          <w:bCs/>
          <w:b/>
        </w:rPr>
        <w:t xml:space="preserve">Outcomes in New Zealand Wellington:</w:t>
      </w:r>
    </w:p>
    <w:p>
      <w:pPr>
        <w:numPr>
          <w:ilvl w:val="0"/>
          <w:numId w:val="1002"/>
        </w:numPr>
        <w:pStyle w:val="Compact"/>
      </w:pPr>
      <w:r>
        <w:rPr>
          <w:bCs/>
          <w:b/>
        </w:rPr>
        <w:t xml:space="preserve">Social Cohesion:</w:t>
      </w:r>
      <w:r>
        <w:t xml:space="preserve"> </w:t>
      </w:r>
      <w:r>
        <w:t xml:space="preserve">The project has become a meeting point for diverse communities in New Zealand Wellington, fostering social interaction across demographic lines.</w:t>
      </w:r>
    </w:p>
    <w:p>
      <w:pPr>
        <w:numPr>
          <w:ilvl w:val="0"/>
          <w:numId w:val="1002"/>
        </w:numPr>
        <w:pStyle w:val="Compact"/>
      </w:pPr>
      <w:r>
        <w:rPr>
          <w:bCs/>
          <w:b/>
        </w:rPr>
        <w:t xml:space="preserve">Environmental Impact:</w:t>
      </w:r>
      <w:r>
        <w:t xml:space="preserve"> </w:t>
      </w:r>
      <w:r>
        <w:t xml:space="preserve">Biodiversity metrics showed a 15% increase in native bird species within the corridor zones within two years of implementation.</w:t>
      </w:r>
    </w:p>
    <w:p>
      <w:pPr>
        <w:numPr>
          <w:ilvl w:val="0"/>
          <w:numId w:val="1002"/>
        </w:numPr>
        <w:pStyle w:val="Compact"/>
      </w:pPr>
      <w:r>
        <w:rPr>
          <w:bCs/>
          <w:b/>
        </w:rPr>
        <w:t xml:space="preserve">Economic Benefit:</w:t>
      </w:r>
      <w:r>
        <w:t xml:space="preserve"> </w:t>
      </w:r>
      <w:r>
        <w:t xml:space="preserve">Local businesses along the corridor reported a 10% increase in foot traffic, demonstrating how academic research can drive local economic vitality.</w:t>
      </w:r>
    </w:p>
    <w:bookmarkEnd w:id="24"/>
    <w:bookmarkStart w:id="25" w:name="Xa9008c85526122d52cc3028a7415b10cb736bce"/>
    <w:p>
      <w:pPr>
        <w:pStyle w:val="Heading2"/>
      </w:pPr>
      <w:r>
        <w:t xml:space="preserve">5. The Academic Ecosystem of New Zealand Wellington</w:t>
      </w:r>
    </w:p>
    <w:p>
      <w:pPr>
        <w:pStyle w:val="FirstParagraph"/>
      </w:pPr>
      <w:r>
        <w:t xml:space="preserve">This case study also serves as an exploration of the broader academic ecosystem in New Zealand Wellington. The city is home to a disproportionate number of universities relative to its population size, including Victoria University and Massey University’s capital campus.</w:t>
      </w:r>
    </w:p>
    <w:p>
      <w:pPr>
        <w:pStyle w:val="BodyText"/>
      </w:pPr>
      <w:r>
        <w:t xml:space="preserve">The interaction between these institutions creates a competitive yet cooperative environment. For a</w:t>
      </w:r>
      <w:r>
        <w:t xml:space="preserve"> </w:t>
      </w:r>
      <w:r>
        <w:rPr>
          <w:bCs/>
          <w:b/>
        </w:rPr>
        <w:t xml:space="preserve">Professor</w:t>
      </w:r>
      <w:r>
        <w:t xml:space="preserve"> </w:t>
      </w:r>
      <w:r>
        <w:t xml:space="preserve">like Thorne, collaboration is key. He often co-teaches courses with colleagues from other disciplines, such as law and engineering, reflecting the interdisciplinary nature of modern problems in New Zealand Wellington.</w:t>
      </w:r>
    </w:p>
    <w:bookmarkEnd w:id="25"/>
    <w:bookmarkStart w:id="27" w:name="conclusion-and-recommendations"/>
    <w:p>
      <w:pPr>
        <w:pStyle w:val="Heading2"/>
      </w:pPr>
      <w:r>
        <w:t xml:space="preserve">6. Conclusion and Recommendations</w:t>
      </w:r>
    </w:p>
    <w:p>
      <w:pPr>
        <w:pStyle w:val="FirstParagraph"/>
      </w:pPr>
      <w:r>
        <w:t xml:space="preserve">The case of</w:t>
      </w:r>
      <w:r>
        <w:t xml:space="preserve"> </w:t>
      </w:r>
      <w:r>
        <w:t xml:space="preserve">Professor</w:t>
      </w:r>
      <w:r>
        <w:t xml:space="preserve"> </w:t>
      </w:r>
      <w:r>
        <w:t xml:space="preserve">Aris Thorne illustrates the transformative potential of academia when it is deeply rooted in its local context. In New Zealand Wellington, the role of a professor extends beyond teaching and publishing; it encompasses civic engagement, policy advising, and community leadership.</w:t>
      </w:r>
    </w:p>
    <w:bookmarkStart w:id="26" w:name="key-takeaways"/>
    <w:p>
      <w:pPr>
        <w:pStyle w:val="Heading3"/>
      </w:pPr>
      <w:r>
        <w:t xml:space="preserve">Key Takeaways:</w:t>
      </w:r>
    </w:p>
    <w:p>
      <w:pPr>
        <w:numPr>
          <w:ilvl w:val="0"/>
          <w:numId w:val="1003"/>
        </w:numPr>
        <w:pStyle w:val="Compact"/>
      </w:pPr>
      <w:r>
        <w:rPr>
          <w:bCs/>
          <w:b/>
        </w:rPr>
        <w:t xml:space="preserve">Civic Integration:</w:t>
      </w:r>
      <w:r>
        <w:t xml:space="preserve"> </w:t>
      </w:r>
      <w:r>
        <w:t xml:space="preserve">Academics in New Zealand Wellington must be willing to engage with local government and community groups to have a tangible impact.</w:t>
      </w:r>
    </w:p>
    <w:p>
      <w:pPr>
        <w:numPr>
          <w:ilvl w:val="0"/>
          <w:numId w:val="1003"/>
        </w:numPr>
        <w:pStyle w:val="Compact"/>
      </w:pPr>
      <w:r>
        <w:rPr>
          <w:bCs/>
          <w:b/>
        </w:rPr>
        <w:t xml:space="preserve">Cultural Competency:</w:t>
      </w:r>
      <w:r>
        <w:t xml:space="preserve"> </w:t>
      </w:r>
      <w:r>
        <w:t xml:space="preserve">Successful projects, like those led by our subject, respect and integrate indigenous knowledge systems.</w:t>
      </w:r>
    </w:p>
    <w:p>
      <w:pPr>
        <w:numPr>
          <w:ilvl w:val="0"/>
          <w:numId w:val="1003"/>
        </w:numPr>
        <w:pStyle w:val="Compact"/>
      </w:pPr>
      <w:r>
        <w:rPr>
          <w:bCs/>
          <w:b/>
        </w:rPr>
        <w:t xml:space="preserve">Sustainable Leadership:</w:t>
      </w:r>
      <w:r>
        <w:t xml:space="preserve"> </w:t>
      </w:r>
      <w:r>
        <w:t xml:space="preserve">The future of urban development in New Zealand Wellington relies on leaders who can balance environmental sustainability with social equity.</w:t>
      </w:r>
    </w:p>
    <w:p>
      <w:pPr>
        <w:pStyle w:val="FirstParagraph"/>
      </w:pPr>
      <w:r>
        <w:t xml:space="preserve">In conclusion, the story of</w:t>
      </w:r>
      <w:r>
        <w:t xml:space="preserve"> </w:t>
      </w:r>
      <w:r>
        <w:t xml:space="preserve">Professor</w:t>
      </w:r>
      <w:r>
        <w:t xml:space="preserve"> </w:t>
      </w:r>
      <w:r>
        <w:t xml:space="preserve">Thorne is not just an individual success story; it is a blueprint for how academia can thrive and contribute to society in New Zealand Wellington. By maintaining high academic standards while embracing local cultural and environmental realities, professors can serve as vital architects of a sustainable future.</w:t>
      </w:r>
    </w:p>
    <w:p>
      <w:r>
        <w:pict>
          <v:rect style="width:0;height:1.5pt" o:hralign="center" o:hrstd="t" o:hr="t"/>
        </w:pict>
      </w:r>
    </w:p>
    <w:p>
      <w:pPr>
        <w:pStyle w:val="FirstParagraph"/>
      </w:pPr>
      <w:r>
        <w:t xml:space="preserve">Note: This document is formatted for clarity and emphasis on the key terms: Case Study, Professor, and New Zealand Wellington.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Wellington</dc:title>
  <dc:creator/>
  <dc:language>en</dc:language>
  <cp:keywords/>
  <dcterms:created xsi:type="dcterms:W3CDTF">2026-07-29T04:14:08Z</dcterms:created>
  <dcterms:modified xsi:type="dcterms:W3CDTF">2026-07-29T04:14:08Z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