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1a42cc7e191c9f65619ecf5851d52c4497a64aa"/>
    <w:p>
      <w:pPr>
        <w:pStyle w:val="Heading1"/>
      </w:pPr>
      <w:r>
        <w:t xml:space="preserve">The Academic Architect: A Case Study on the Modern Professor in Saudi Arabia Riyadh</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Location Focus:</w:t>
      </w:r>
      <w:r>
        <w:t xml:space="preserve"> </w:t>
      </w:r>
      <w:r>
        <w:t xml:space="preserve">Saudi Arabia Riyadh</w:t>
      </w:r>
    </w:p>
    <w:bookmarkStart w:id="20" w:name="executive-summary"/>
    <w:p>
      <w:pPr>
        <w:pStyle w:val="Heading2"/>
      </w:pPr>
      <w:r>
        <w:t xml:space="preserve">1. Executive Summary</w:t>
      </w:r>
    </w:p>
    <w:p>
      <w:pPr>
        <w:pStyle w:val="FirstParagraph"/>
      </w:pPr>
      <w:r>
        <w:t xml:space="preserve">The educational landscape of the Kingdom is undergoing a historic transformation, driven by Vision 2030. At the heart of this transformation lies the academic institution, and at the core of every institution is the faculty member. This case study examines the evolving identity and responsibilities of the</w:t>
      </w:r>
      <w:r>
        <w:t xml:space="preserve"> </w:t>
      </w:r>
      <w:r>
        <w:rPr>
          <w:bCs/>
          <w:b/>
        </w:rPr>
        <w:t xml:space="preserve">Professor</w:t>
      </w:r>
      <w:r>
        <w:t xml:space="preserve"> </w:t>
      </w:r>
      <w:r>
        <w:t xml:space="preserve">within</w:t>
      </w:r>
      <w:r>
        <w:t xml:space="preserve"> </w:t>
      </w:r>
      <w:r>
        <w:rPr>
          <w:bCs/>
          <w:b/>
        </w:rPr>
        <w:t xml:space="preserve">Saudi Arabia Riyadh</w:t>
      </w:r>
      <w:r>
        <w:t xml:space="preserve">, focusing on how traditional academic roles are being reshaped by technological integration, global ranking ambitions, and national workforce development goals.</w:t>
      </w:r>
    </w:p>
    <w:bookmarkEnd w:id="20"/>
    <w:bookmarkStart w:id="21" w:name="X072106c9ff71d7053f4c02859d721c7f0cb3fcf"/>
    <w:p>
      <w:pPr>
        <w:pStyle w:val="Heading2"/>
      </w:pPr>
      <w:r>
        <w:t xml:space="preserve">2. Contextual Background: The Rise of Riyadh as an Academic Hub</w:t>
      </w:r>
    </w:p>
    <w:p>
      <w:pPr>
        <w:pStyle w:val="FirstParagraph"/>
      </w:pPr>
      <w:r>
        <w:t xml:space="preserve">Riyadh has emerged not only as the political capital but also as the intellectual and commercial center of the Kingdom. With major universities such as King Saud University (KSU), Prince Sultan University, and Alfaisal University, along with numerous international branch campuses,</w:t>
      </w:r>
      <w:r>
        <w:t xml:space="preserve"> </w:t>
      </w:r>
      <w:r>
        <w:rPr>
          <w:bCs/>
          <w:b/>
        </w:rPr>
        <w:t xml:space="preserve">Saudi Arabia Riyadh</w:t>
      </w:r>
      <w:r>
        <w:t xml:space="preserve"> </w:t>
      </w:r>
      <w:r>
        <w:t xml:space="preserve">has become a competitive arena for higher education excellence. The city’s rapid urbanization and economic diversification have necessitated a higher demand for specialized knowledge in fields such as artificial intelligence, renewable energy, business management, and healthcare.</w:t>
      </w:r>
    </w:p>
    <w:p>
      <w:pPr>
        <w:pStyle w:val="BodyText"/>
      </w:pPr>
      <w:r>
        <w:t xml:space="preserve">In this dynamic environment, the role of the</w:t>
      </w:r>
      <w:r>
        <w:t xml:space="preserve"> </w:t>
      </w:r>
      <w:r>
        <w:rPr>
          <w:bCs/>
          <w:b/>
        </w:rPr>
        <w:t xml:space="preserve">Professor</w:t>
      </w:r>
      <w:r>
        <w:t xml:space="preserve"> </w:t>
      </w:r>
      <w:r>
        <w:t xml:space="preserve">has shifted from being merely a transmitter of knowledge to becoming a researcher, innovator, and industry collaborator. The government’s investment in research centers within Riyadh underscores the expectation that professors will contribute directly to national innovation.</w:t>
      </w:r>
    </w:p>
    <w:bookmarkEnd w:id="21"/>
    <w:bookmarkStart w:id="28" w:name="the-changing-role-of-the-professor"/>
    <w:p>
      <w:pPr>
        <w:pStyle w:val="Heading2"/>
      </w:pPr>
      <w:r>
        <w:t xml:space="preserve">3. The Changing Role of the Professor</w:t>
      </w:r>
    </w:p>
    <w:bookmarkStart w:id="27" w:name="from-lecturer-to-research-leader"/>
    <w:p>
      <w:pPr>
        <w:pStyle w:val="Heading3"/>
      </w:pPr>
      <w:r>
        <w:t xml:space="preserve">3.1 From Lecturer to Research Leader</w:t>
      </w:r>
    </w:p>
    <w:p>
      <w:pPr>
        <w:pStyle w:val="FirstParagraph"/>
      </w:pPr>
      <w:r>
        <w:t xml:space="preserve">In recent years, universities in</w:t>
      </w:r>
      <w:r>
        <w:t xml:space="preserve"> </w:t>
      </w:r>
      <w:r>
        <w:rPr>
          <w:bCs/>
          <w:b/>
        </w:rPr>
        <w:t xml:space="preserve">Saudi Arabia RiyadhSaudi Arabia Riyadh</w:t>
      </w:r>
    </w:p>
    <w:p>
      <w:pPr>
        <w:pStyle w:val="BodyText"/>
      </w:pPr>
      <w:r>
        <w:br/>
      </w:r>
    </w:p>
    <w:p>
      <w:pPr>
        <w:pStyle w:val="BodyText"/>
      </w:pPr>
      <w:r>
        <w:t xml:space="preserve">Note: The term "Professor" refers to the highest academic rank and implies a senior role involving significant research output, mentorship, and administrative duties. It is distinct from instructors or lecturers in terms of strategic impact on university rankings.</w:t>
      </w:r>
    </w:p>
    <w:bookmarkStart w:id="22" w:name="X613a35433636354c4988483e4db143f05b2bb7b"/>
    <w:p>
      <w:pPr>
        <w:pStyle w:val="Heading2"/>
      </w:pPr>
      <w:r>
        <w:t xml:space="preserve">4. Challenges Facing Professors in Saudi Arabia Riyadh</w:t>
      </w:r>
    </w:p>
    <w:p>
      <w:pPr>
        <w:pStyle w:val="FirstParagraph"/>
      </w:pPr>
      <w:r>
        <w:t xml:space="preserve">Despite the opportunities, several challenges persist for the modern professor in this region:</w:t>
      </w:r>
    </w:p>
    <w:p>
      <w:pPr>
        <w:numPr>
          <w:ilvl w:val="0"/>
          <w:numId w:val="1001"/>
        </w:numPr>
        <w:pStyle w:val="Compact"/>
      </w:pPr>
      <w:r>
        <w:rPr>
          <w:bCs/>
          <w:b/>
        </w:rPr>
        <w:t xml:space="preserve">Bureaucratic Hurdles:</w:t>
      </w:r>
      <w:r>
        <w:t xml:space="preserve"> </w:t>
      </w:r>
      <w:r>
        <w:t xml:space="preserve">While improvements have been made, administrative processes can sometimes slow down research initiatives and grant acquisitions.</w:t>
      </w:r>
    </w:p>
    <w:p>
      <w:pPr>
        <w:numPr>
          <w:ilvl w:val="0"/>
          <w:numId w:val="1001"/>
        </w:numPr>
        <w:pStyle w:val="Compact"/>
      </w:pPr>
      <w:r>
        <w:rPr>
          <w:bCs/>
          <w:b/>
        </w:rPr>
        <w:t xml:space="preserve">Cultural Adaptation:</w:t>
      </w:r>
      <w:r>
        <w:t xml:space="preserve"> </w:t>
      </w:r>
      <w:r>
        <w:t xml:space="preserve">Balancing traditional cultural values with progressive academic freedom and modern pedagogical methods requires careful navigation.</w:t>
      </w:r>
    </w:p>
    <w:p>
      <w:pPr>
        <w:numPr>
          <w:ilvl w:val="0"/>
          <w:numId w:val="1001"/>
        </w:numPr>
        <w:pStyle w:val="Compact"/>
      </w:pPr>
      <w:r>
        <w:rPr>
          <w:bCs/>
          <w:b/>
        </w:rPr>
        <w:t xml:space="preserve">Global Competition:</w:t>
      </w:r>
      <w:r>
        <w:t xml:space="preserve">To attract top talent, institutions in Riyadh must compete globally. This puts pressure on local professors to maintain high publication standards in international journals while adhering to national priorities.</w:t>
      </w:r>
    </w:p>
    <w:p>
      <w:pPr>
        <w:numPr>
          <w:ilvl w:val="0"/>
          <w:numId w:val="1001"/>
        </w:numPr>
        <w:pStyle w:val="Compact"/>
      </w:pPr>
      <w:r>
        <w:rPr>
          <w:bCs/>
          <w:b/>
        </w:rPr>
        <w:t xml:space="preserve">Digital Literacy:</w:t>
      </w:r>
      <w:r>
        <w:t xml:space="preserve">The rapid adoption of AI and digital learning platforms requires continuous upskilling for senior faculty members who may have been trained in more traditional methodologies.</w:t>
      </w:r>
    </w:p>
    <w:bookmarkEnd w:id="22"/>
    <w:bookmarkStart w:id="23" w:name="Xcf68e8715654f42a3fabcc5fbe6f6d901fc6e09"/>
    <w:p>
      <w:pPr>
        <w:pStyle w:val="Heading2"/>
      </w:pPr>
      <w:r>
        <w:t xml:space="preserve">5. Strategic Initiatives Supporting the Professor</w:t>
      </w:r>
    </w:p>
    <w:p>
      <w:pPr>
        <w:pStyle w:val="FirstParagraph"/>
      </w:pPr>
      <w:r>
        <w:t xml:space="preserve">To address these challenges, several strategic initiatives have been launched specifically targeting the professional development of academics in</w:t>
      </w:r>
      <w:r>
        <w:t xml:space="preserve"> </w:t>
      </w:r>
      <w:r>
        <w:rPr>
          <w:bCs/>
          <w:b/>
        </w:rPr>
        <w:t xml:space="preserve">Saudi Arabia Riyadh</w:t>
      </w:r>
      <w:r>
        <w:t xml:space="preserve">:</w:t>
      </w:r>
    </w:p>
    <w:p>
      <w:pPr>
        <w:numPr>
          <w:ilvl w:val="0"/>
          <w:numId w:val="1002"/>
        </w:numPr>
        <w:pStyle w:val="Compact"/>
      </w:pPr>
      <w:r>
        <w:rPr>
          <w:bCs/>
          <w:b/>
        </w:rPr>
        <w:t xml:space="preserve">The Faculty Development Program:</w:t>
      </w:r>
      <w:r>
        <w:t xml:space="preserve">A comprehensive scheme offering sabbaticals, travel grants for conferences, and workshops on pedagogical techniques. This ensures that the professor remains at the forefront of educational trends.</w:t>
      </w:r>
    </w:p>
    <w:p>
      <w:pPr>
        <w:numPr>
          <w:ilvl w:val="0"/>
          <w:numId w:val="1002"/>
        </w:numPr>
        <w:pStyle w:val="Compact"/>
      </w:pPr>
      <w:r>
        <w:rPr>
          <w:bCs/>
          <w:b/>
        </w:rPr>
        <w:t xml:space="preserve">Research Funding Grants:</w:t>
      </w:r>
      <w:r>
        <w:t xml:space="preserve">Increase in funding for local research projects aligning with Vision 2030 goals, encouraging professors to focus on solutions relevant to the local context while maintaining international relevance.</w:t>
      </w:r>
    </w:p>
    <w:p>
      <w:pPr>
        <w:numPr>
          <w:ilvl w:val="0"/>
          <w:numId w:val="1002"/>
        </w:numPr>
        <w:pStyle w:val="Compact"/>
      </w:pPr>
      <w:r>
        <w:rPr>
          <w:bCs/>
          <w:b/>
        </w:rPr>
        <w:t xml:space="preserve">Mentorship Networks:</w:t>
      </w:r>
      <w:r>
        <w:t xml:space="preserve">Pairsing senior professors with early-career academics and international experts to foster a culture of collaboration and knowledge exchange within Riyadh’s academic community.</w:t>
      </w:r>
    </w:p>
    <w:bookmarkEnd w:id="23"/>
    <w:bookmarkStart w:id="24" w:name="impact-on-national-development"/>
    <w:p>
      <w:pPr>
        <w:pStyle w:val="Heading2"/>
      </w:pPr>
      <w:r>
        <w:t xml:space="preserve">6. Impact on National Development</w:t>
      </w:r>
    </w:p>
    <w:p>
      <w:pPr>
        <w:pStyle w:val="FirstParagraph"/>
      </w:pPr>
      <w:r>
        <w:t xml:space="preserve">The effectiveness of the professor in</w:t>
      </w:r>
      <w:r>
        <w:t xml:space="preserve"> </w:t>
      </w:r>
      <w:r>
        <w:rPr>
          <w:bCs/>
          <w:b/>
        </w:rPr>
        <w:t xml:space="preserve">Saudi Arabia Riyadh</w:t>
      </w:r>
      <w:r>
        <w:br/>
      </w:r>
      <w:r>
        <w:br/>
      </w:r>
      <w:r>
        <w:t xml:space="preserve">The success of this transformation is evident in the rising global rankings of universities in Riyadh. As professors increase their research output and enhance teaching quality, the city attracts more international students and partnerships. Furthermore, graduates produced by these enhanced academic programs are better equipped to meet the needs of a diversified economy.</w:t>
      </w:r>
    </w:p>
    <w:bookmarkEnd w:id="24"/>
    <w:bookmarkStart w:id="25" w:name="future-outlook"/>
    <w:p>
      <w:pPr>
        <w:pStyle w:val="Heading2"/>
      </w:pPr>
      <w:r>
        <w:t xml:space="preserve">7. Future Outlook</w:t>
      </w:r>
    </w:p>
    <w:p>
      <w:pPr>
        <w:pStyle w:val="FirstParagraph"/>
      </w:pPr>
      <w:r>
        <w:t xml:space="preserve">The future of the professor in Riyadh is one of increased integration with industry and government sectors. We anticipate a further blurring of lines between academia and practice, where professors will frequently engage in consultancy roles and policy advisory positions. The concept of the "entrepreneurial professor" will become more prominent, driving commercialization of research findings.</w:t>
      </w:r>
    </w:p>
    <w:p>
      <w:pPr>
        <w:pStyle w:val="BodyText"/>
      </w:pPr>
      <w:r>
        <w:t xml:space="preserve">Additionally, the focus on sustainability and green technologies means that professors in Riyadh will play a crucial role in developing solutions for water scarcity, energy efficiency, and sustainable urban planning—key issues for the Kingdom’s future.</w:t>
      </w:r>
    </w:p>
    <w:bookmarkEnd w:id="25"/>
    <w:bookmarkStart w:id="26" w:name="conclusion"/>
    <w:p>
      <w:pPr>
        <w:pStyle w:val="Heading2"/>
      </w:pPr>
      <w:r>
        <w:t xml:space="preserve">8. Conclusion</w:t>
      </w:r>
    </w:p>
    <w:p>
      <w:pPr>
        <w:pStyle w:val="FirstParagraph"/>
      </w:pPr>
      <w:r>
        <w:t xml:space="preserve">In conclusion, the case study of the professor in</w:t>
      </w:r>
      <w:r>
        <w:t xml:space="preserve"> </w:t>
      </w:r>
      <w:r>
        <w:rPr>
          <w:bCs/>
          <w:b/>
        </w:rPr>
        <w:t xml:space="preserve">Saudi Arabia Riyadh</w:t>
      </w:r>
      <w:r>
        <w:br/>
      </w:r>
      <w:r>
        <w:br/>
      </w:r>
      <w:r>
        <w:t xml:space="preserve">As Riyadh continues to solidify its status as a global hub for innovation and education, the empowerment of its professors remains paramount. By investing in their development, removing barriers to research excellence, and fostering an environment that values both tradition and innovation,</w:t>
      </w:r>
      <w:r>
        <w:t xml:space="preserve"> </w:t>
      </w:r>
      <w:r>
        <w:rPr>
          <w:bCs/>
          <w:b/>
        </w:rPr>
        <w:t xml:space="preserve">Saudi Arabia Riyadh</w:t>
      </w:r>
      <w:r>
        <w:t xml:space="preserve"> </w:t>
      </w:r>
      <w:r>
        <w:t xml:space="preserve">ensures that the academic sector will continue to drive national progress for decades to come.</w:t>
      </w:r>
    </w:p>
    <w:p>
      <w:r>
        <w:pict>
          <v:rect style="width:0;height:1.5pt" o:hralign="center" o:hrstd="t" o:hr="t"/>
        </w:pict>
      </w:r>
    </w:p>
    <w:p>
      <w:pPr>
        <w:pStyle w:val="FirstParagraph"/>
      </w:pPr>
      <w:r>
        <w:t xml:space="preserve">© 2023 Academic Insight Group. All rights reserved.</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Professor in Saudi Arabia Riyadh</dc:title>
  <dc:creator/>
  <dc:language>en</dc:language>
  <cp:keywords/>
  <dcterms:created xsi:type="dcterms:W3CDTF">2026-07-29T11:06:54Z</dcterms:created>
  <dcterms:modified xsi:type="dcterms:W3CDTF">2026-07-29T11:06:54Z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