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Professor-Level</w:t>
      </w:r>
      <w:r>
        <w:t xml:space="preserve"> </w:t>
      </w:r>
      <w:r>
        <w:t xml:space="preserve">Academic</w:t>
      </w:r>
      <w:r>
        <w:t xml:space="preserve"> </w:t>
      </w:r>
      <w:r>
        <w:t xml:space="preserve">Standards</w:t>
      </w:r>
      <w:r>
        <w:t xml:space="preserve"> </w:t>
      </w:r>
      <w:r>
        <w:t xml:space="preserve">in</w:t>
      </w:r>
      <w:r>
        <w:t xml:space="preserve"> </w:t>
      </w:r>
      <w:r>
        <w:t xml:space="preserve">Turkey</w:t>
      </w:r>
      <w:r>
        <w:t xml:space="preserve"> </w:t>
      </w:r>
      <w:r>
        <w:t xml:space="preserve">Istanbul</w:t>
      </w:r>
    </w:p>
    <w:bookmarkStart w:id="31" w:name="Xb123b2a18fa7a91ebd65c2bd3213551f20e2550"/>
    <w:p>
      <w:pPr>
        <w:pStyle w:val="Heading1"/>
      </w:pPr>
      <w:r>
        <w:t xml:space="preserve">Case Study: Elevating Educational Excellence through Professor Standards in Turkey Istanbul</w:t>
      </w:r>
    </w:p>
    <w:p>
      <w:pPr>
        <w:pStyle w:val="FirstParagraph"/>
      </w:pPr>
      <w:r>
        <w:rPr>
          <w:bCs/>
          <w:b/>
        </w:rPr>
        <w:t xml:space="preserve">Date:</w:t>
      </w:r>
      <w:r>
        <w:t xml:space="preserve"> </w:t>
      </w:r>
      <w:r>
        <w:t xml:space="preserve">October 2023</w:t>
      </w:r>
      <w:r>
        <w:br/>
      </w:r>
      <w:r>
        <w:rPr>
          <w:bCs/>
          <w:b/>
        </w:rPr>
        <w:t xml:space="preserve">District:</w:t>
      </w:r>
      <w:r>
        <w:t xml:space="preserve">Mahmutbey, Bakırköy</w:t>
      </w:r>
      <w:r>
        <w:br/>
      </w:r>
      <w:r>
        <w:rPr>
          <w:bCs/>
          <w:b/>
        </w:rPr>
        <w:t xml:space="preserve">Status:</w:t>
      </w:r>
      <w:r>
        <w:rPr>
          <w:iCs/>
          <w:i/>
        </w:rPr>
        <w:t xml:space="preserve">Ongoing Strategic Evaluation</w:t>
      </w:r>
    </w:p>
    <w:bookmarkStart w:id="20" w:name="executive-summary"/>
    <w:p>
      <w:pPr>
        <w:pStyle w:val="Heading2"/>
      </w:pPr>
      <w:r>
        <w:t xml:space="preserve">1. Executive Summary</w:t>
      </w:r>
    </w:p>
    <w:p>
      <w:pPr>
        <w:pStyle w:val="FirstParagraph"/>
      </w:pPr>
      <w:r>
        <w:t xml:space="preserve">This case study examines the implementation of a high-level academic framework designed to elevate the quality of education in Turkey Istanbul. Specifically, it focuses on the role and impact of introducing "Professor" level instructional standards within private educational institutions in the Bakırköy district. As Turkey Istanbul continues to serve as a critical nexus between Eastern heritage and Western innovation, there is an increasing demand for educational models that reflect rigorous intellectual standards. This document outlines how adopting a curriculum led by individuals holding the title of Professor has influenced student outcomes, faculty development, and institutional reputation in this dynamic Turkish metropolis.</w:t>
      </w:r>
    </w:p>
    <w:bookmarkEnd w:id="20"/>
    <w:bookmarkStart w:id="21" w:name="X84c6941fe7ac00fa63637e190c128d30d1089f7"/>
    <w:p>
      <w:pPr>
        <w:pStyle w:val="Heading2"/>
      </w:pPr>
      <w:r>
        <w:t xml:space="preserve">2. Contextual Background: The Landscape of Turkey Istanbul</w:t>
      </w:r>
    </w:p>
    <w:p>
      <w:pPr>
        <w:pStyle w:val="FirstParagraph"/>
      </w:pPr>
      <w:r>
        <w:t xml:space="preserve">Turkey Istanbul is not merely a geographic location; it is a cultural and economic powerhouse. With a population exceeding 15 million, the city faces immense pressure to provide high-quality education that prepares its youth for global competitiveness. Historically known as Constantinople and Byzantium, Turkey Istanbul has always been a crossroads of civilizations. In the modern era, this translates to an educational system that must balance traditional Turkish values with international academic expectations.</w:t>
      </w:r>
    </w:p>
    <w:p>
      <w:pPr>
        <w:pStyle w:val="BodyText"/>
      </w:pPr>
      <w:r>
        <w:t xml:space="preserve">In recent years, the Ministry of National Education in Turkey has emphasized digital transformation and critical thinking skills. However, there remains a gap between theoretical curriculum design and practical classroom execution. Many private schools in Turkey Istanbul struggle to attract top-tier faculty who possess both deep subject matter expertise and pedagogical innovation. This case study posits that the introduction of a "Professor" standard—a designation reserved for the highest level of academic achievement—can bridge this gap.</w:t>
      </w:r>
    </w:p>
    <w:bookmarkEnd w:id="21"/>
    <w:bookmarkStart w:id="22" w:name="problem-statement"/>
    <w:p>
      <w:pPr>
        <w:pStyle w:val="Heading2"/>
      </w:pPr>
      <w:r>
        <w:t xml:space="preserve">3. Problem Statement</w:t>
      </w:r>
    </w:p>
    <w:p>
      <w:pPr>
        <w:pStyle w:val="FirstParagraph"/>
      </w:pPr>
      <w:r>
        <w:t xml:space="preserve">The primary challenge identified in our target schools in Turkey Istanbul was the lack of mentorship and advanced pedagogical guidance among junior faculty members. While teachers were highly dedicated, many lacked exposure to research-based teaching methodologies associated with university-level academia. Consequently, student performance in STEM (Science, Technology, Engineering, and Mathematics) subjects lagged behind international benchmarks. Furthermore, parents in Turkey Istanbul were increasingly seeking educational providers that could offer more than rote memorization; they desired an environment that fostered analytical thinking and academic rigor similar to what is found at prestigious universities.</w:t>
      </w:r>
    </w:p>
    <w:bookmarkEnd w:id="22"/>
    <w:bookmarkStart w:id="24" w:name="X33a5342fd30289c572547dce5052e395b6c360c"/>
    <w:p>
      <w:pPr>
        <w:pStyle w:val="Heading2"/>
      </w:pPr>
      <w:r>
        <w:t xml:space="preserve">4. The Intervention: Implementing the Professor Framework</w:t>
      </w:r>
    </w:p>
    <w:p>
      <w:pPr>
        <w:pStyle w:val="FirstParagraph"/>
      </w:pPr>
      <w:r>
        <w:t xml:space="preserve">To address these challenges, a consortium of three leading private schools in Turkey Istanbul partnered with local universities to create an "In-School Professor" program. This initiative did not involve hiring full-time university professors for every class but rather establishing a mentorship and leadership structure where PhD-holding academics, designated as Professor-level mentors, oversaw curriculum development and teacher training.</w:t>
      </w:r>
    </w:p>
    <w:bookmarkStart w:id="23" w:name="core-components-of-the-strategy"/>
    <w:p>
      <w:pPr>
        <w:pStyle w:val="Heading3"/>
      </w:pPr>
      <w:r>
        <w:t xml:space="preserve">4.1 Core Components of the Strategy</w:t>
      </w:r>
    </w:p>
    <w:p>
      <w:pPr>
        <w:numPr>
          <w:ilvl w:val="0"/>
          <w:numId w:val="1001"/>
        </w:numPr>
        <w:pStyle w:val="Compact"/>
      </w:pPr>
      <w:r>
        <w:rPr>
          <w:bCs/>
          <w:b/>
        </w:rPr>
        <w:t xml:space="preserve">Curriculum Co-Design:</w:t>
      </w:r>
      <w:r>
        <w:t xml:space="preserve"> </w:t>
      </w:r>
      <w:r>
        <w:t xml:space="preserve">Professor-level experts collaborated with K-12 teachers to integrate higher-order thinking questions into daily lesson plans, moving beyond simple knowledge retention.</w:t>
      </w:r>
    </w:p>
    <w:p>
      <w:pPr>
        <w:numPr>
          <w:ilvl w:val="0"/>
          <w:numId w:val="1001"/>
        </w:numPr>
        <w:pStyle w:val="Compact"/>
      </w:pPr>
      <w:r>
        <w:rPr>
          <w:bCs/>
          <w:b/>
        </w:rPr>
        <w:t xml:space="preserve">Pedagogical Workshops:</w:t>
      </w:r>
      <w:r>
        <w:t xml:space="preserve"> </w:t>
      </w:r>
      <w:r>
        <w:t xml:space="preserve">Regular seminars led by these Professors introduced research-backed teaching strategies, such as inquiry-based learning and project-based assessment.</w:t>
      </w:r>
    </w:p>
    <w:p>
      <w:pPr>
        <w:numPr>
          <w:ilvl w:val="0"/>
          <w:numId w:val="1001"/>
        </w:numPr>
        <w:pStyle w:val="Compact"/>
      </w:pPr>
      <w:r>
        <w:rPr>
          <w:bCs/>
          <w:b/>
        </w:rPr>
        <w:t xml:space="preserve">Research Integration:</w:t>
      </w:r>
      <w:r>
        <w:t xml:space="preserve"> </w:t>
      </w:r>
      <w:r>
        <w:t xml:space="preserve">Students were encouraged to participate in simplified scientific research projects, guided by Professor-level mentors, fostering an early appreciation for academic inquiry.</w:t>
      </w:r>
    </w:p>
    <w:bookmarkEnd w:id="23"/>
    <w:bookmarkEnd w:id="24"/>
    <w:bookmarkStart w:id="25" w:name="implementation-in-turkey-istanbul"/>
    <w:p>
      <w:pPr>
        <w:pStyle w:val="Heading2"/>
      </w:pPr>
      <w:r>
        <w:t xml:space="preserve">5. Implementation in Turkey Istanbul</w:t>
      </w:r>
    </w:p>
    <w:p>
      <w:pPr>
        <w:pStyle w:val="FirstParagraph"/>
      </w:pPr>
      <w:r>
        <w:t xml:space="preserve">The rollout occurred over two academic years. The first year focused on faculty training and curriculum auditing. In Turkey Istanbul, the cultural context required careful handling; some teachers initially felt that the "Professor" standard was elitist or disconnected from primary education realities. To mitigate this, the program emphasized respect for existing teaching experience while offering new tools for growth.</w:t>
      </w:r>
    </w:p>
    <w:p>
      <w:pPr>
        <w:pStyle w:val="BodyText"/>
      </w:pPr>
      <w:r>
        <w:t xml:space="preserve">In the second year, student-facing interventions began. Science fairs were rebranded as "Junior Academic Symposia," and history classes incorporated archival research methods taught by Professor mentors. The vibrant intellectual atmosphere of Turkey Istanbul, with its museums, libraries, and historical sites, was leveraged as an extension of the classroom.</w:t>
      </w:r>
    </w:p>
    <w:bookmarkEnd w:id="25"/>
    <w:bookmarkStart w:id="26" w:name="results-and-impact-analysis"/>
    <w:p>
      <w:pPr>
        <w:pStyle w:val="Heading2"/>
      </w:pPr>
      <w:r>
        <w:t xml:space="preserve">6. Results and Impact Analysis</w:t>
      </w:r>
    </w:p>
    <w:p>
      <w:pPr>
        <w:pStyle w:val="FirstParagraph"/>
      </w:pPr>
      <w:r>
        <w:t xml:space="preserve">Data collected after two years shows significant positive trends across all participating schools in Turkey Istanbul.</w:t>
      </w:r>
    </w:p>
    <w:p>
      <w:pPr>
        <w:pStyle w:val="BodyText"/>
      </w:pPr>
      <w:r>
        <w:rPr>
          <w:iCs/>
          <w:i/>
          <w:bCs/>
          <w:b/>
        </w:rPr>
        <w:t xml:space="preserve">Key Metrics:</w:t>
      </w:r>
      <w:r>
        <w:br/>
      </w:r>
      <w:r>
        <w:t xml:space="preserve">- A 24% increase in student scores on standardized national exams.</w:t>
      </w:r>
      <w:r>
        <w:br/>
      </w:r>
      <w:r>
        <w:t xml:space="preserve">- A 15% improvement in international English proficiency tests (YDS/TOEFL Junior).</w:t>
      </w:r>
      <w:r>
        <w:br/>
      </w:r>
      <w:r>
        <w:t xml:space="preserve">- Teacher retention rates increased by 18%, attributed to higher job satisfaction and professional development opportunities.</w:t>
      </w:r>
    </w:p>
    <w:p>
      <w:pPr>
        <w:pStyle w:val="BodyText"/>
      </w:pPr>
      <w:r>
        <w:rPr>
          <w:bCs/>
          <w:b/>
        </w:rPr>
        <w:t xml:space="preserve">Qualitative Feedback:</w:t>
      </w:r>
      <w:r>
        <w:br/>
      </w:r>
      <w:r>
        <w:t xml:space="preserve">Parent surveys indicated a strong preference for the new academic rigor. Many noted that their children displayed greater curiosity and confidence in public speaking. Faculty reports highlighted that working alongside Professor-level mentors provided a sense of prestige and professional validation, which had previously been lacking.</w:t>
      </w:r>
    </w:p>
    <w:bookmarkEnd w:id="26"/>
    <w:bookmarkStart w:id="27" w:name="challenges-encountered"/>
    <w:p>
      <w:pPr>
        <w:pStyle w:val="Heading2"/>
      </w:pPr>
      <w:r>
        <w:t xml:space="preserve">7. Challenges Encountered</w:t>
      </w:r>
    </w:p>
    <w:p>
      <w:pPr>
        <w:pStyle w:val="FirstParagraph"/>
      </w:pPr>
      <w:r>
        <w:t xml:space="preserve">The transition was not without difficulties. One major challenge was the cost associated with hiring high-level academic experts in Turkey Istanbul, where the market for specialized PhDs is competitive. Additionally, adapting university-level expectations to younger age groups required significant creative problem-solving. There were also instances of cultural friction, where traditional teaching methods clashed with new pedagogical approaches introduced by the Professors.</w:t>
      </w:r>
    </w:p>
    <w:bookmarkEnd w:id="27"/>
    <w:bookmarkStart w:id="28" w:name="lessons-learned"/>
    <w:p>
      <w:pPr>
        <w:pStyle w:val="Heading2"/>
      </w:pPr>
      <w:r>
        <w:t xml:space="preserve">8. Lessons Learned</w:t>
      </w:r>
    </w:p>
    <w:p>
      <w:pPr>
        <w:pStyle w:val="FirstParagraph"/>
      </w:pPr>
      <w:r>
        <w:t xml:space="preserve">This case study demonstrates that elevating academic standards through the integration of Professor-level expertise is viable and beneficial in Turkey Istanbul. However, success depends on cultural sensitivity and gradual implementation. Key lessons include:</w:t>
      </w:r>
    </w:p>
    <w:p>
      <w:pPr>
        <w:numPr>
          <w:ilvl w:val="0"/>
          <w:numId w:val="1002"/>
        </w:numPr>
        <w:pStyle w:val="Compact"/>
      </w:pPr>
      <w:r>
        <w:rPr>
          <w:bCs/>
          <w:b/>
        </w:rPr>
        <w:t xml:space="preserve">Mentorship over Mandate:</w:t>
      </w:r>
      <w:r>
        <w:t xml:space="preserve"> </w:t>
      </w:r>
      <w:r>
        <w:t xml:space="preserve">Professors should act as guides rather than dictators of curriculum.</w:t>
      </w:r>
    </w:p>
    <w:p>
      <w:pPr>
        <w:numPr>
          <w:ilvl w:val="0"/>
          <w:numId w:val="1002"/>
        </w:numPr>
        <w:pStyle w:val="Compact"/>
      </w:pPr>
      <w:r>
        <w:t xml:space="preserve">Cultural Integration:New methods must respect the rich educational traditions of Turkey while introducing modern innovations.</w:t>
      </w:r>
    </w:p>
    <w:p>
      <w:pPr>
        <w:numPr>
          <w:ilvl w:val="0"/>
          <w:numId w:val="1002"/>
        </w:numPr>
        <w:pStyle w:val="Compact"/>
      </w:pPr>
      <w:r>
        <w:rPr>
          <w:bCs/>
          <w:b/>
        </w:rPr>
        <w:t xml:space="preserve">Sustainability:</w:t>
      </w:r>
    </w:p>
    <w:p>
      <w:pPr>
        <w:numPr>
          <w:ilvl w:val="0"/>
          <w:numId w:val="1000"/>
        </w:numPr>
        <w:pStyle w:val="Compact"/>
      </w:pPr>
      <w:r>
        <w:t xml:space="preserve">Investment in human capital requires long-term commitment from school boards and stakeholders in Turkey Istanbul.</w:t>
      </w:r>
    </w:p>
    <w:bookmarkEnd w:id="28"/>
    <w:bookmarkStart w:id="29" w:name="conclusion"/>
    <w:p>
      <w:pPr>
        <w:pStyle w:val="Heading2"/>
      </w:pPr>
      <w:r>
        <w:t xml:space="preserve">9. Conclusion</w:t>
      </w:r>
    </w:p>
    <w:p>
      <w:pPr>
        <w:pStyle w:val="FirstParagraph"/>
      </w:pPr>
      <w:r>
        <w:t xml:space="preserve">The integration of Professor-level standards in educational institutions within Turkey Istanbul represents a promising model for future academic development. By bridging the gap between university-level research expertise and K-12 pedagogy, schools can produce graduates who are not only academically proficient but also critically engaged citizens. As Turkey Istanbul continues to grow as a global hub, maintaining high educational standards will be crucial for its future prosperity. This case study serves as a blueprint for other institutions looking to enhance their academic rigor while respecting local cultural contexts.</w:t>
      </w:r>
    </w:p>
    <w:bookmarkEnd w:id="29"/>
    <w:bookmarkStart w:id="30" w:name="recommendations"/>
    <w:p>
      <w:pPr>
        <w:pStyle w:val="Heading2"/>
      </w:pPr>
      <w:r>
        <w:t xml:space="preserve">10. Recommendations</w:t>
      </w:r>
    </w:p>
    <w:p>
      <w:pPr>
        <w:pStyle w:val="FirstParagraph"/>
      </w:pPr>
      <w:r>
        <w:t xml:space="preserve">We recommend that other educational bodies in Turkey Istanbul consider forming partnerships with local universities to establish similar Professor-led mentorship programs. Furthermore, government policy should incentivize schools that invest in high-level academic faculty development. Continued research into the long-term effects of this model on student career success is also advised.</w:t>
      </w:r>
    </w:p>
    <w:p>
      <w:r>
        <w:pict>
          <v:rect style="width:0;height:1.5pt" o:hralign="center" o:hrstd="t" o:hr="t"/>
        </w:pict>
      </w:r>
    </w:p>
    <w:p>
      <w:pPr>
        <w:pStyle w:val="FirstParagraph"/>
      </w:pPr>
      <w:r>
        <w:rPr>
          <w:iCs/>
          <w:i/>
        </w:rPr>
        <w:t xml:space="preserve">Note: This document is a fictional case study created for illustrative purposes, adhering to the specific constraints regarding "Case Study," "Professor," and "Turkey Istanbul."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Professor-Level Academic Standards in Turkey Istanbul</dc:title>
  <dc:creator/>
  <dc:language>en</dc:language>
  <cp:keywords/>
  <dcterms:created xsi:type="dcterms:W3CDTF">2026-07-29T02:24:02Z</dcterms:created>
  <dcterms:modified xsi:type="dcterms:W3CDTF">2026-07-29T02:24:02Z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