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Academic</w:t>
      </w:r>
      <w:r>
        <w:t xml:space="preserve"> </w:t>
      </w:r>
      <w:r>
        <w:t xml:space="preserve">Leadership</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X7a0362007981eb5cc273f0190ce0ae69de30ae1"/>
    <w:p>
      <w:pPr>
        <w:pStyle w:val="Heading1"/>
      </w:pPr>
      <w:r>
        <w:t xml:space="preserve">Case Study: Transforming Higher Education Leadership in United States Miami</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States, State of Florida, City of Miami</w:t>
      </w:r>
      <w:r>
        <w:br/>
      </w:r>
      <w:r>
        <w:rPr>
          <w:bCs/>
          <w:b/>
        </w:rPr>
        <w:t xml:space="preserve">Subject:</w:t>
      </w:r>
      <w:r>
        <w:t xml:space="preserve"> </w:t>
      </w:r>
      <w:r>
        <w:t xml:space="preserve">The Modern Professor and Institutional Adaptation</w:t>
      </w:r>
    </w:p>
    <w:bookmarkStart w:id="20" w:name="executive-summary"/>
    <w:p>
      <w:pPr>
        <w:pStyle w:val="Heading2"/>
      </w:pPr>
      <w:r>
        <w:t xml:space="preserve">1. Executive Summary</w:t>
      </w:r>
    </w:p>
    <w:p>
      <w:pPr>
        <w:pStyle w:val="FirstParagraph"/>
      </w:pPr>
      <w:r>
        <w:t xml:space="preserve">This case study examines the multifaceted role of the</w:t>
      </w:r>
      <w:r>
        <w:t xml:space="preserve"> </w:t>
      </w:r>
      <w:r>
        <w:rPr>
          <w:u w:val="single"/>
          <w:iCs/>
          <w:i/>
          <w:bCs/>
          <w:b/>
        </w:rPr>
        <w:t xml:space="preserve">Professor</w:t>
      </w:r>
      <w:r>
        <w:t xml:space="preserve"> </w:t>
      </w:r>
      <w:r>
        <w:t xml:space="preserve">within the evolving academic landscape of Miami, a critical hub in the southeastern United States. As higher education institutions in this region face unprecedented challenges—including rapid demographic shifts, technological acceleration, and increasing economic diversity—the traditional definition of an academic's role is being fundamentally rewritten. This document explores how the</w:t>
      </w:r>
      <w:r>
        <w:t xml:space="preserve"> </w:t>
      </w:r>
      <w:r>
        <w:rPr>
          <w:u w:val="single"/>
          <w:iCs/>
          <w:i/>
          <w:bCs/>
          <w:b/>
        </w:rPr>
        <w:t xml:space="preserve">Professor</w:t>
      </w:r>
      <w:r>
        <w:t xml:space="preserve"> </w:t>
      </w:r>
      <w:r>
        <w:t xml:space="preserve">has transitioned from a sole purveyor of knowledge to a dynamic leader, researcher, and community integrator in</w:t>
      </w:r>
      <w:r>
        <w:t xml:space="preserve"> </w:t>
      </w:r>
      <w:r>
        <w:rPr>
          <w:bCs/>
          <w:b/>
        </w:rPr>
        <w:t xml:space="preserve">United States Miami</w:t>
      </w:r>
      <w:r>
        <w:t xml:space="preserve">.</w:t>
      </w:r>
    </w:p>
    <w:bookmarkEnd w:id="20"/>
    <w:bookmarkStart w:id="21" w:name="Xe59aa8e745ead6748218cd308572e587ff52661"/>
    <w:p>
      <w:pPr>
        <w:pStyle w:val="Heading2"/>
      </w:pPr>
      <w:r>
        <w:t xml:space="preserve">2. Contextual Background: The Miami Academic Ecosystem</w:t>
      </w:r>
    </w:p>
    <w:p>
      <w:pPr>
        <w:pStyle w:val="FirstParagraph"/>
      </w:pPr>
      <w:r>
        <w:t xml:space="preserve">Miami represents a unique sociological and economic laboratory within the United States. It is characterized by its vibrant bilingual culture, significant immigrant population, and status as a gateway to Latin America and the Caribbean. For universities located in this metro area, such as Florida International University (FIU) or the University of Miami (UM), the environment dictates specific pedagogical needs.</w:t>
      </w:r>
    </w:p>
    <w:p>
      <w:pPr>
        <w:pStyle w:val="BodyText"/>
      </w:pPr>
      <w:r>
        <w:t xml:space="preserve">In this context, the</w:t>
      </w:r>
      <w:r>
        <w:t xml:space="preserve"> </w:t>
      </w:r>
      <w:r>
        <w:rPr>
          <w:u w:val="single"/>
          <w:iCs/>
          <w:i/>
          <w:bCs/>
          <w:b/>
        </w:rPr>
        <w:t xml:space="preserve">Professor</w:t>
      </w:r>
      <w:r>
        <w:t xml:space="preserve"> </w:t>
      </w:r>
      <w:r>
        <w:t xml:space="preserve">is not merely teaching from a textbook. They are operating in an ecosystem where cultural competency is as important as technical proficiency. The academic institutions of</w:t>
      </w:r>
      <w:r>
        <w:t xml:space="preserve"> </w:t>
      </w:r>
      <w:r>
        <w:rPr>
          <w:bCs/>
          <w:b/>
        </w:rPr>
        <w:t xml:space="preserve">United States Miami</w:t>
      </w:r>
      <w:r>
        <w:t xml:space="preserve"> </w:t>
      </w:r>
      <w:r>
        <w:t xml:space="preserve">have had to adapt their curricula to reflect the local economic drivers, which include international trade, tourism, maritime logistics, and increasingly, fintech and biotech sectors.</w:t>
      </w:r>
    </w:p>
    <w:bookmarkEnd w:id="21"/>
    <w:bookmarkStart w:id="22" w:name="X88bbc896063d47ab736c7ea5104b9b8305f0d82"/>
    <w:p>
      <w:pPr>
        <w:pStyle w:val="Heading2"/>
      </w:pPr>
      <w:r>
        <w:t xml:space="preserve">3. Problem Statement: The Crisis of Relevance</w:t>
      </w:r>
    </w:p>
    <w:p>
      <w:pPr>
        <w:pStyle w:val="FirstParagraph"/>
      </w:pPr>
      <w:r>
        <w:t xml:space="preserve">A primary issue facing higher education in</w:t>
      </w:r>
      <w:r>
        <w:t xml:space="preserve"> </w:t>
      </w:r>
      <w:r>
        <w:rPr>
          <w:bCs/>
          <w:b/>
        </w:rPr>
        <w:t xml:space="preserve">United States Miami</w:t>
      </w:r>
      <w:r>
        <w:t xml:space="preserve"> </w:t>
      </w:r>
      <w:r>
        <w:t xml:space="preserve">is the growing disconnect between traditional academic outputs and the practical needs of the local workforce. Historically, a</w:t>
      </w:r>
      <w:r>
        <w:t xml:space="preserve"> </w:t>
      </w:r>
      <w:r>
        <w:rPr>
          <w:u w:val="single"/>
          <w:iCs/>
          <w:i/>
          <w:bCs/>
          <w:b/>
        </w:rPr>
        <w:t xml:space="preserve">Professor</w:t>
      </w:r>
      <w:r>
        <w:t xml:space="preserve"> </w:t>
      </w:r>
      <w:r>
        <w:t xml:space="preserve">was expected to focus primarily on tenure-track research and lecture delivery. However, stakeholders—including alumni, corporate partners in Miami-Dade County, and government bodies—have expressed concern that graduates lack applied skills.</w:t>
      </w:r>
    </w:p>
    <w:p>
      <w:pPr>
        <w:pStyle w:val="BodyText"/>
      </w:pPr>
      <w:r>
        <w:t xml:space="preserve">The challenge for the modern</w:t>
      </w:r>
      <w:r>
        <w:t xml:space="preserve"> </w:t>
      </w:r>
      <w:r>
        <w:rPr>
          <w:u w:val="single"/>
          <w:iCs/>
          <w:i/>
          <w:bCs/>
          <w:b/>
        </w:rPr>
        <w:t xml:space="preserve">Professor</w:t>
      </w:r>
      <w:r>
        <w:t xml:space="preserve"> </w:t>
      </w:r>
      <w:r>
        <w:t xml:space="preserve">is threefold:</w:t>
      </w:r>
    </w:p>
    <w:p>
      <w:pPr>
        <w:numPr>
          <w:ilvl w:val="0"/>
          <w:numId w:val="1001"/>
        </w:numPr>
        <w:pStyle w:val="Compact"/>
      </w:pPr>
      <w:r>
        <w:rPr>
          <w:bCs/>
          <w:b/>
        </w:rPr>
        <w:t xml:space="preserve">Pedagogical Adaptation:</w:t>
      </w:r>
      <w:r>
        <w:t xml:space="preserve"> </w:t>
      </w:r>
      <w:r>
        <w:t xml:space="preserve">How to integrate technology and hybrid learning models effectively.</w:t>
      </w:r>
    </w:p>
    <w:p>
      <w:pPr>
        <w:numPr>
          <w:ilvl w:val="0"/>
          <w:numId w:val="1001"/>
        </w:numPr>
        <w:pStyle w:val="Compact"/>
      </w:pPr>
      <w:r>
        <w:rPr>
          <w:bCs/>
          <w:b/>
        </w:rPr>
        <w:t xml:space="preserve">Cultural Integration:</w:t>
      </w:r>
      <w:r>
        <w:t xml:space="preserve"> </w:t>
      </w:r>
      <w:r>
        <w:t xml:space="preserve">How to serve a student body that is predominantly Hispanic and multicultural, requiring bilingual or bicultural instructional strategies.</w:t>
      </w:r>
    </w:p>
    <w:p>
      <w:pPr>
        <w:numPr>
          <w:ilvl w:val="0"/>
          <w:numId w:val="1001"/>
        </w:numPr>
        <w:pStyle w:val="Compact"/>
      </w:pPr>
      <w:r>
        <w:rPr>
          <w:bCs/>
          <w:b/>
        </w:rPr>
        <w:t xml:space="preserve">Economic Relevance:</w:t>
      </w:r>
      <w:r>
        <w:t xml:space="preserve"> </w:t>
      </w:r>
      <w:r>
        <w:t xml:space="preserve">How to ensure that research conducted in the university contributes directly to the innovation economy of Miami.</w:t>
      </w:r>
    </w:p>
    <w:bookmarkEnd w:id="22"/>
    <w:bookmarkStart w:id="26" w:name="Xd5f8f5513ca8e974de0f81dfbcaedfecd0e178c"/>
    <w:p>
      <w:pPr>
        <w:pStyle w:val="Heading2"/>
      </w:pPr>
      <w:r>
        <w:t xml:space="preserve">4. The Role of the Professor in United States Miami</w:t>
      </w:r>
    </w:p>
    <w:p>
      <w:pPr>
        <w:pStyle w:val="FirstParagraph"/>
      </w:pPr>
      <w:r>
        <w:rPr>
          <w:u w:val="single"/>
          <w:iCs/>
          <w:i/>
          <w:bCs/>
          <w:b/>
        </w:rPr>
        <w:t xml:space="preserve">The Professor as a Catalyst:</w:t>
      </w:r>
      <w:r>
        <w:t xml:space="preserve"> </w:t>
      </w:r>
      <w:r>
        <w:t xml:space="preserve">In the specific context of Miami, the professor acts as a bridge between global theory and local practice. Unlike professors in more insulated academic environments, those in</w:t>
      </w:r>
      <w:r>
        <w:t xml:space="preserve"> </w:t>
      </w:r>
      <w:r>
        <w:rPr>
          <w:bCs/>
          <w:b/>
        </w:rPr>
        <w:t xml:space="preserve">United States Miami</w:t>
      </w:r>
      <w:r>
        <w:t xml:space="preserve"> </w:t>
      </w:r>
      <w:r>
        <w:t xml:space="preserve">must engage with community stakeholders regularly.</w:t>
      </w:r>
    </w:p>
    <w:bookmarkStart w:id="23" w:name="interdisciplinary-collaboration"/>
    <w:p>
      <w:pPr>
        <w:pStyle w:val="Heading3"/>
      </w:pPr>
      <w:r>
        <w:t xml:space="preserve">4.1 Interdisciplinary Collaboration</w:t>
      </w:r>
    </w:p>
    <w:p>
      <w:pPr>
        <w:pStyle w:val="FirstParagraph"/>
      </w:pPr>
      <w:r>
        <w:t xml:space="preserve">The siloed nature of traditional departments is breaking down. In Miami, a professor in environmental science may collaborate with a law professor to address sea-level rise impacts on real estate, while an engineering professor works with business faculty to create sustainable infrastructure solutions for the port. This interdisciplinary approach requires the</w:t>
      </w:r>
      <w:r>
        <w:t xml:space="preserve"> </w:t>
      </w:r>
      <w:r>
        <w:rPr>
          <w:u w:val="single"/>
          <w:iCs/>
          <w:i/>
          <w:bCs/>
          <w:b/>
        </w:rPr>
        <w:t xml:space="preserve">Professor</w:t>
      </w:r>
      <w:r>
        <w:t xml:space="preserve"> </w:t>
      </w:r>
      <w:r>
        <w:t xml:space="preserve">to be flexible, communicative, and open to learning outside their primary discipline.</w:t>
      </w:r>
    </w:p>
    <w:bookmarkEnd w:id="23"/>
    <w:bookmarkStart w:id="24" w:name="community-engagement-and-service"/>
    <w:p>
      <w:pPr>
        <w:pStyle w:val="Heading3"/>
      </w:pPr>
      <w:r>
        <w:t xml:space="preserve">4.2 Community Engagement and Service</w:t>
      </w:r>
    </w:p>
    <w:p>
      <w:pPr>
        <w:pStyle w:val="FirstParagraph"/>
      </w:pPr>
      <w:r>
        <w:t xml:space="preserve">The "Third Mission" of universities—community engagement—is paramount in</w:t>
      </w:r>
      <w:r>
        <w:t xml:space="preserve"> </w:t>
      </w:r>
      <w:r>
        <w:rPr>
          <w:bCs/>
          <w:b/>
        </w:rPr>
        <w:t xml:space="preserve">United States Miami</w:t>
      </w:r>
      <w:r>
        <w:t xml:space="preserve">. Professors are increasingly expected to participate in civic dialogues, offer pro-bono consulting to local small businesses, and lead outreach programs for K-12 students. This role enhances the social capital of the university and grounds academic work in real-world problems affecting Miami residents.</w:t>
      </w:r>
    </w:p>
    <w:bookmarkEnd w:id="24"/>
    <w:bookmarkStart w:id="25" w:name="technological-fluency"/>
    <w:p>
      <w:pPr>
        <w:pStyle w:val="Heading3"/>
      </w:pPr>
      <w:r>
        <w:t xml:space="preserve">4.3 Technological Fluency</w:t>
      </w:r>
    </w:p>
    <w:p>
      <w:pPr>
        <w:pStyle w:val="FirstParagraph"/>
      </w:pPr>
      <w:r>
        <w:t xml:space="preserve">The post-pandemic era has accelerated digital transformation. The modern</w:t>
      </w:r>
      <w:r>
        <w:t xml:space="preserve"> </w:t>
      </w:r>
      <w:r>
        <w:rPr>
          <w:u w:val="single"/>
          <w:iCs/>
          <w:i/>
          <w:bCs/>
          <w:b/>
        </w:rPr>
        <w:t xml:space="preserve">Professor</w:t>
      </w:r>
      <w:r>
        <w:t xml:space="preserve"> </w:t>
      </w:r>
      <w:r>
        <w:t xml:space="preserve">must be adept at leveraging Learning Management Systems (LMS), utilizing AI-driven analytics for student performance, and creating virtual exchange opportunities with institutions in Latin America. In Miami, this technological fluency also extends to preparing students for a globalized digital economy.</w:t>
      </w:r>
    </w:p>
    <w:bookmarkEnd w:id="25"/>
    <w:bookmarkEnd w:id="26"/>
    <w:bookmarkStart w:id="27" w:name="strategic-implementation-a-case-example"/>
    <w:p>
      <w:pPr>
        <w:pStyle w:val="Heading2"/>
      </w:pPr>
      <w:r>
        <w:t xml:space="preserve">5. Strategic Implementation: A Case Example</w:t>
      </w:r>
    </w:p>
    <w:p>
      <w:pPr>
        <w:pStyle w:val="FirstParagraph"/>
      </w:pPr>
      <w:r>
        <w:t xml:space="preserve">To illustrate these dynamics, we examine a hypothetical but representative scenario involving the establishment of an "Innovation Hub" at a mid-sized university in Miami.</w:t>
      </w:r>
    </w:p>
    <w:p>
      <w:pPr>
        <w:pStyle w:val="BodyText"/>
      </w:pPr>
      <w:r>
        <w:rPr>
          <w:bCs/>
          <w:b/>
        </w:rPr>
        <w:t xml:space="preserve">The Initiative:</w:t>
      </w:r>
    </w:p>
    <w:p>
      <w:pPr>
        <w:pStyle w:val="BodyText"/>
      </w:pPr>
      <w:r>
        <w:t xml:space="preserve">The university administration tasked senior faculty members with creating a new curriculum focused on "Sustainable Urban Development." This initiative required selecting a lead</w:t>
      </w:r>
      <w:r>
        <w:t xml:space="preserve"> </w:t>
      </w:r>
      <w:r>
        <w:rPr>
          <w:u w:val="single"/>
          <w:iCs/>
          <w:i/>
          <w:bCs/>
          <w:b/>
        </w:rPr>
        <w:t xml:space="preserve">Professor</w:t>
      </w:r>
      <w:r>
        <w:t xml:space="preserve"> </w:t>
      </w:r>
      <w:r>
        <w:t xml:space="preserve">from the Department of Architecture and another from the Department of Public Policy.</w:t>
      </w:r>
    </w:p>
    <w:p>
      <w:pPr>
        <w:pStyle w:val="BodyText"/>
      </w:pPr>
      <w:r>
        <w:rPr>
          <w:bCs/>
          <w:b/>
        </w:rPr>
        <w:t xml:space="preserve">The Process:</w:t>
      </w:r>
    </w:p>
    <w:p>
      <w:pPr>
        <w:numPr>
          <w:ilvl w:val="0"/>
          <w:numId w:val="1002"/>
        </w:numPr>
        <w:pStyle w:val="Compact"/>
      </w:pPr>
      <w:r>
        <w:rPr>
          <w:bCs/>
          <w:b/>
        </w:rPr>
        <w:t xml:space="preserve">Curriculum Design:</w:t>
      </w:r>
      <w:r>
        <w:t xml:space="preserve"> </w:t>
      </w:r>
      <w:r>
        <w:t xml:space="preserve">The professors collaborated to merge design studios with policy workshops. They invited local Miami planners and architects as guest lecturers, ensuring that student projects addressed actual zoning and climate resilience issues in neighborhoods like Little Haiti or Brickell.</w:t>
      </w:r>
    </w:p>
    <w:p>
      <w:pPr>
        <w:numPr>
          <w:ilvl w:val="0"/>
          <w:numId w:val="1002"/>
        </w:numPr>
        <w:pStyle w:val="Compact"/>
      </w:pPr>
      <w:r>
        <w:rPr>
          <w:bCs/>
          <w:b/>
        </w:rPr>
        <w:t xml:space="preserve">Pedagogical Shift:</w:t>
      </w:r>
      <w:r>
        <w:t xml:space="preserve"> </w:t>
      </w:r>
      <w:r>
        <w:t xml:space="preserve">Moving away from traditional exams, the professors implemented project-based learning. Students worked in teams to present viable solutions to the City of Miami planning commission.</w:t>
      </w:r>
    </w:p>
    <w:p>
      <w:pPr>
        <w:numPr>
          <w:ilvl w:val="0"/>
          <w:numId w:val="1002"/>
        </w:numPr>
        <w:pStyle w:val="Compact"/>
      </w:pPr>
      <w:r>
        <w:rPr>
          <w:bCs/>
          <w:b/>
        </w:rPr>
        <w:t xml:space="preserve">Evaluation:</w:t>
      </w:r>
      <w:r>
        <w:t xml:space="preserve"> </w:t>
      </w:r>
      <w:r>
        <w:t xml:space="preserve">Success was measured not just by grades, but by the implementation of student ideas into municipal pilot programs and positive feedback from industry partners.</w:t>
      </w:r>
    </w:p>
    <w:p>
      <w:pPr>
        <w:pStyle w:val="FirstParagraph"/>
      </w:pPr>
      <w:r>
        <w:t xml:space="preserve">This case demonstrates how a</w:t>
      </w:r>
      <w:r>
        <w:t xml:space="preserve"> </w:t>
      </w:r>
      <w:r>
        <w:rPr>
          <w:u w:val="single"/>
          <w:iCs/>
          <w:i/>
          <w:bCs/>
          <w:b/>
        </w:rPr>
        <w:t xml:space="preserve">Professor</w:t>
      </w:r>
      <w:r>
        <w:t xml:space="preserve"> </w:t>
      </w:r>
      <w:r>
        <w:t xml:space="preserve">in</w:t>
      </w:r>
      <w:r>
        <w:t xml:space="preserve"> </w:t>
      </w:r>
      <w:r>
        <w:rPr>
          <w:bCs/>
          <w:b/>
        </w:rPr>
        <w:t xml:space="preserve">United States Miami</w:t>
      </w:r>
      <w:r>
        <w:t xml:space="preserve"> </w:t>
      </w:r>
      <w:r>
        <w:t xml:space="preserve">can drive institutional change by aligning academic rigor with community needs.</w:t>
      </w:r>
    </w:p>
    <w:bookmarkEnd w:id="27"/>
    <w:bookmarkStart w:id="28" w:name="challenges-and-solutions"/>
    <w:p>
      <w:pPr>
        <w:pStyle w:val="Heading2"/>
      </w:pPr>
      <w:r>
        <w:t xml:space="preserve">6. Challenges and Solutions</w:t>
      </w:r>
    </w:p>
    <w:p>
      <w:pPr>
        <w:pStyle w:val="FirstParagraph"/>
      </w:pPr>
      <w:r>
        <w:rPr>
          <w:u w:val="single"/>
          <w:iCs/>
          <w:i/>
          <w:bCs/>
          <w:b/>
        </w:rPr>
        <w:t xml:space="preserve">Challenge:</w:t>
      </w:r>
      <w:r>
        <w:t xml:space="preserve"> </w:t>
      </w:r>
      <w:r>
        <w:t xml:space="preserve">Administrative Bureaucracy.</w:t>
      </w:r>
      <w:r>
        <w:br/>
      </w:r>
      <w:r>
        <w:t xml:space="preserve">Many professors in Miami report that rigid tenure requirements and administrative red tape hinder their ability to engage with the community. Tenure often prioritizes journal publications over civic engagement.</w:t>
      </w:r>
    </w:p>
    <w:p>
      <w:pPr>
        <w:pStyle w:val="BodyText"/>
      </w:pPr>
      <w:r>
        <w:rPr>
          <w:bCs/>
          <w:b/>
        </w:rPr>
        <w:t xml:space="preserve">Solution:</w:t>
      </w:r>
      <w:r>
        <w:t xml:space="preserve"> </w:t>
      </w:r>
      <w:r>
        <w:t xml:space="preserve">Institutions in</w:t>
      </w:r>
      <w:r>
        <w:t xml:space="preserve"> </w:t>
      </w:r>
      <w:r>
        <w:rPr>
          <w:bCs/>
          <w:b/>
        </w:rPr>
        <w:t xml:space="preserve">United States Miami</w:t>
      </w:r>
      <w:r>
        <w:t xml:space="preserve"> </w:t>
      </w:r>
      <w:r>
        <w:t xml:space="preserve">are beginning to revise promotion criteria. They now recognize "engaged scholarship" as a valid form of academic output. A professor who successfully negotiates a city contract or publishes policy recommendations for local government is increasingly valued alongside those with high citation counts.</w:t>
      </w:r>
    </w:p>
    <w:p>
      <w:pPr>
        <w:pStyle w:val="BodyText"/>
      </w:pPr>
      <w:r>
        <w:rPr>
          <w:u w:val="single"/>
          <w:iCs/>
          <w:i/>
          <w:bCs/>
          <w:b/>
        </w:rPr>
        <w:t xml:space="preserve">Challenge:</w:t>
      </w:r>
      <w:r>
        <w:t xml:space="preserve"> </w:t>
      </w:r>
      <w:r>
        <w:t xml:space="preserve">Resource Allocation.</w:t>
      </w:r>
      <w:r>
        <w:br/>
      </w:r>
      <w:r>
        <w:t xml:space="preserve">Teaching in a diverse, under-resourced community requires additional support for students who may need remedial help or financial counseling.</w:t>
      </w:r>
    </w:p>
    <w:p>
      <w:pPr>
        <w:pStyle w:val="BodyText"/>
      </w:pPr>
      <w:r>
        <w:rPr>
          <w:bCs/>
          <w:b/>
        </w:rPr>
        <w:t xml:space="preserve">Solution:</w:t>
      </w:r>
      <w:r>
        <w:t xml:space="preserve"> </w:t>
      </w:r>
      <w:r>
        <w:t xml:space="preserve">The role of the professor is expanding to include mentorship. Universities are providing training for professors on trauma-informed teaching and culturally responsive pedagogy, acknowledging that their emotional intelligence is as critical as their academic expertise in retaining diverse student populations.</w:t>
      </w:r>
    </w:p>
    <w:bookmarkEnd w:id="28"/>
    <w:bookmarkStart w:id="29" w:name="conclusion"/>
    <w:p>
      <w:pPr>
        <w:pStyle w:val="Heading2"/>
      </w:pPr>
      <w:r>
        <w:t xml:space="preserve">7. Conclusion</w:t>
      </w:r>
    </w:p>
    <w:p>
      <w:pPr>
        <w:pStyle w:val="FirstParagraph"/>
      </w:pPr>
      <w:r>
        <w:t xml:space="preserve">The trajectory of higher education in Miami illustrates a broader national trend: the university cannot exist in isolation. For institutions across the United States, and particularly those with the unique demographic and economic profile of Miami, the role of the academic has shifted dramatically.</w:t>
      </w:r>
    </w:p>
    <w:p>
      <w:pPr>
        <w:pStyle w:val="BodyText"/>
      </w:pPr>
      <w:r>
        <w:t xml:space="preserve">The modern</w:t>
      </w:r>
      <w:r>
        <w:t xml:space="preserve"> </w:t>
      </w:r>
      <w:r>
        <w:rPr>
          <w:u w:val="single"/>
          <w:iCs/>
          <w:i/>
          <w:bCs/>
          <w:b/>
        </w:rPr>
        <w:t xml:space="preserve">Professor</w:t>
      </w:r>
      <w:r>
        <w:t xml:space="preserve"> </w:t>
      </w:r>
      <w:r>
        <w:t xml:space="preserve">is no longer just a teacher; they are a researcher who impacts policy, a mentor who guides social mobility, and an innovator who drives economic development. In the vibrant and complex environment of</w:t>
      </w:r>
      <w:r>
        <w:t xml:space="preserve"> </w:t>
      </w:r>
      <w:r>
        <w:rPr>
          <w:bCs/>
          <w:b/>
        </w:rPr>
        <w:t xml:space="preserve">United States Miami</w:t>
      </w:r>
      <w:r>
        <w:t xml:space="preserve">, this evolution is not optional—it is essential for the survival and relevance of higher education institutions.</w:t>
      </w:r>
    </w:p>
    <w:p>
      <w:pPr>
        <w:pStyle w:val="BodyText"/>
      </w:pPr>
      <w:r>
        <w:t xml:space="preserve">As we look to the future, it is clear that the most successful academics will be those who embrace this expanded definition. They will leverage their expertise in service of their communities, bridging the gap between ivory towers and street-level realities. For policymakers and university administrators in</w:t>
      </w:r>
      <w:r>
        <w:t xml:space="preserve"> </w:t>
      </w:r>
      <w:r>
        <w:rPr>
          <w:bCs/>
          <w:b/>
        </w:rPr>
        <w:t xml:space="preserve">United States Miami</w:t>
      </w:r>
      <w:r>
        <w:t xml:space="preserve">, supporting this evolution through flexible tenure tracks, adequate resources, and clear strategic vision is the key to fostering a generation of professors who are truly ready for the challenges of the 21st century.</w:t>
      </w:r>
    </w:p>
    <w:p>
      <w:r>
        <w:pict>
          <v:rect style="width:0;height:1.5pt" o:hralign="center" o:hrstd="t" o:hr="t"/>
        </w:pict>
      </w:r>
    </w:p>
    <w:p>
      <w:pPr>
        <w:pStyle w:val="FirstParagraph"/>
      </w:pPr>
      <w:r>
        <w:rPr>
          <w:iCs/>
          <w:i/>
        </w:rPr>
        <w:t xml:space="preserve">Note: This case study is written for educational and planning purposes. Specific names have been generalized to protect confidentiality, but the scenarios reflect actual trends observed in Miami-Dade County higher education institutions.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Academic Leadership in United States Miami</dc:title>
  <dc:creator/>
  <dc:language>en</dc:language>
  <cp:keywords/>
  <dcterms:created xsi:type="dcterms:W3CDTF">2026-07-29T07:38:01Z</dcterms:created>
  <dcterms:modified xsi:type="dcterms:W3CDTF">2026-07-29T07:38:01Z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