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fafe4b7aa9ef0ac85587752fab18b3f73a2f6a2"/>
    <w:p>
      <w:pPr>
        <w:pStyle w:val="Heading1"/>
      </w:pPr>
      <w:r>
        <w:t xml:space="preserve">Case Study: Navigating Complexity in Project Management Within China Guangzhou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Leadership and Operational Excellence</w:t>
      </w:r>
      <w:r>
        <w:br/>
      </w:r>
    </w:p>
    <w:p>
      <w:pPr>
        <w:pStyle w:val="BodyText"/>
      </w:pPr>
      <w:r>
        <w:t xml:space="preserve">Locus: China Guangzhou</w:t>
      </w:r>
    </w:p>
    <w:bookmarkStart w:id="25" w:name="executive-summary"/>
    <w:p>
      <w:pPr>
        <w:pStyle w:val="Heading2"/>
      </w:pPr>
      <w:r>
        <w:t xml:space="preserve">1. Executive Summary</w:t>
      </w:r>
    </w:p>
    <w:p>
      <w:pPr>
        <w:pStyle w:val="FirstParagraph"/>
      </w:pPr>
      <w:r>
        <w:t xml:space="preserve">This case study examines the critical role of a</w:t>
      </w:r>
    </w:p>
    <w:p>
      <w:pPr>
        <w:pStyle w:val="BodyText"/>
      </w:pPr>
      <w:hyperlink w:anchor="Xa39a3ee5e6b4b0d3255bfef95601890afd80709">
        <w:r>
          <w:rPr>
            <w:rStyle w:val="Hyperlink"/>
          </w:rPr>
          <w:t xml:space="preserve">Project Manager</w:t>
        </w:r>
      </w:hyperlink>
      <w:r>
        <w:t xml:space="preserve"> </w:t>
      </w:r>
      <w:r>
        <w:t xml:space="preserve">in a high-stakes infrastructure and technology integration initiative located in</w:t>
      </w:r>
    </w:p>
    <w:p>
      <w:pPr>
        <w:pStyle w:val="BodyText"/>
      </w:pPr>
      <w:r>
        <w:t xml:space="preserve">China Guangzhou. The document explores how effective leadership, cultural intelligence, and adaptive management strategies converge to deliver complex projects in one of China’s most dynamic economic hubs. As</w:t>
      </w:r>
    </w:p>
    <w:p>
      <w:pPr>
        <w:pStyle w:val="BodyText"/>
      </w:pPr>
      <w:r>
        <w:t xml:space="preserve">China Guangzhou continues to serve as the gateway for trade between domestic markets and the global south, particularly through the Canton Fair ecosystem and the Greater Bay Area initiatives, the demand for sophisticated</w:t>
      </w:r>
    </w:p>
    <w:p>
      <w:pPr>
        <w:pStyle w:val="BodyText"/>
      </w:pPr>
      <w:r>
        <w:t xml:space="preserve">Project Manager expertise has never been higher.</w:t>
      </w:r>
    </w:p>
    <w:p>
      <w:pPr>
        <w:pStyle w:val="BodyText"/>
      </w:pPr>
      <w:r>
        <w:t xml:space="preserve">The central thesis of this analysis is that success in this region requires more than technical proficiency; it demands a nuanced understanding of local regulatory frameworks, Guanxi (relationship building), and rapid iterative development cycles characteristic of the Pearl River Delta.</w:t>
      </w:r>
    </w:p>
    <w:p>
      <w:pPr>
        <w:pStyle w:val="BodyText"/>
      </w:pPr>
      <w:r>
        <w:t xml:space="preserve">2. Contextual Background: The</w:t>
      </w:r>
    </w:p>
    <w:p>
      <w:pPr>
        <w:pStyle w:val="BodyText"/>
      </w:pPr>
      <w:r>
        <w:t xml:space="preserve">China Guangzhou Environment</w:t>
      </w:r>
    </w:p>
    <w:p>
      <w:pPr>
        <w:pStyle w:val="BodyText"/>
      </w:pPr>
      <w:r>
        <w:t xml:space="preserve">To understand the challenges faced by any</w:t>
      </w:r>
    </w:p>
    <w:p>
      <w:pPr>
        <w:pStyle w:val="BodyText"/>
      </w:pPr>
      <w:r>
        <w:t xml:space="preserve">Project Manager, one must first appreciate the unique environment of</w:t>
      </w:r>
      <w:r>
        <w:t xml:space="preserve"> </w:t>
      </w:r>
      <w:r>
        <w:rPr>
          <w:bCs/>
          <w:b/>
        </w:rPr>
        <w:t xml:space="preserve">China Guangzhou</w:t>
      </w:r>
      <w:r>
        <w:t xml:space="preserve">. As the capital of Guangdong Province, Guangzhou is not merely a city; it is an economic powerhouse. It hosts the Canton Fair (China Import and Export Fair), making it a global nexus for commerce.</w:t>
      </w:r>
    </w:p>
    <w:bookmarkStart w:id="20" w:name="economic-significance"/>
    <w:p>
      <w:pPr>
        <w:pStyle w:val="Heading3"/>
      </w:pPr>
      <w:r>
        <w:t xml:space="preserve">2.1 Economic Significance</w:t>
      </w:r>
    </w:p>
    <w:p>
      <w:pPr>
        <w:pStyle w:val="FirstParagraph"/>
      </w:pPr>
      <w:r>
        <w:t xml:space="preserve">The region offers unparalleled access to supply chains, manufacturing capabilities, and digital innovation hubs such as the Pazhou Internet Innovation Center. For any international or domestic</w:t>
      </w:r>
    </w:p>
    <w:p>
      <w:pPr>
        <w:pStyle w:val="BodyText"/>
      </w:pPr>
      <w:r>
        <w:t xml:space="preserve">Project Manager, this environment presents both opportunities for rapid scaling and challenges regarding compliance and logistical coordination.</w:t>
      </w:r>
    </w:p>
    <w:bookmarkEnd w:id="20"/>
    <w:bookmarkStart w:id="21" w:name="cultural-landscape"/>
    <w:p>
      <w:pPr>
        <w:pStyle w:val="Heading3"/>
      </w:pPr>
      <w:r>
        <w:t xml:space="preserve">2.2 Cultural Landscape</w:t>
      </w:r>
    </w:p>
    <w:p>
      <w:pPr>
        <w:pStyle w:val="FirstParagraph"/>
      </w:pPr>
      <w:r>
        <w:t xml:space="preserve">In</w:t>
      </w:r>
    </w:p>
    <w:p>
      <w:pPr>
        <w:pStyle w:val="BodyText"/>
      </w:pPr>
      <w:r>
        <w:t xml:space="preserve">China Guangzhou, business is deeply intertwined with social relationships. The concept of</w:t>
      </w:r>
      <w:r>
        <w:t xml:space="preserve"> </w:t>
      </w:r>
      <w:r>
        <w:rPr>
          <w:iCs/>
          <w:i/>
        </w:rPr>
        <w:t xml:space="preserve">Guanxi</w:t>
      </w:r>
      <w:r>
        <w:t xml:space="preserve"> </w:t>
      </w:r>
      <w:r>
        <w:t xml:space="preserve">cannot be overstated. A</w:t>
      </w:r>
    </w:p>
    <w:p>
      <w:pPr>
        <w:pStyle w:val="BodyText"/>
      </w:pPr>
      <w:r>
        <w:t xml:space="preserve">Project Manager who relies solely on contractual obligations without investing time in building trust-based relationships with local stakeholders, government officials, and vendors often encounters significant friction.</w:t>
      </w:r>
    </w:p>
    <w:p>
      <w:pPr>
        <w:pStyle w:val="BodyText"/>
      </w:pPr>
      <w:r>
        <w:t xml:space="preserve">3. The Role of the</w:t>
      </w:r>
    </w:p>
    <w:p>
      <w:pPr>
        <w:pStyle w:val="BodyText"/>
      </w:pPr>
      <w:r>
        <w:t xml:space="preserve">Project Manager</w:t>
      </w:r>
    </w:p>
    <w:p>
      <w:pPr>
        <w:pStyle w:val="BodyText"/>
      </w:pPr>
      <w:r>
        <w:t xml:space="preserve">The</w:t>
      </w:r>
    </w:p>
    <w:p>
      <w:pPr>
        <w:pStyle w:val="BodyText"/>
      </w:pPr>
      <w:r>
        <w:t xml:space="preserve">Project Manager in this context acts as the linchpin between international standards and local execution. This section details the specific responsibilities and challenges encountered.</w:t>
      </w:r>
    </w:p>
    <w:bookmarkEnd w:id="21"/>
    <w:bookmarkStart w:id="22" w:name="bridging-regulatory-complexities"/>
    <w:p>
      <w:pPr>
        <w:pStyle w:val="Heading3"/>
      </w:pPr>
      <w:r>
        <w:t xml:space="preserve">3.1 Bridging Regulatory Complexities</w:t>
      </w:r>
    </w:p>
    <w:p>
      <w:pPr>
        <w:pStyle w:val="FirstParagraph"/>
      </w:pPr>
      <w:r>
        <w:t xml:space="preserve">Navigating local regulations in</w:t>
      </w:r>
    </w:p>
    <w:p>
      <w:pPr>
        <w:pStyle w:val="BodyText"/>
      </w:pPr>
      <w:r>
        <w:t xml:space="preserve">China Guangzhou requires proactive engagement. The</w:t>
      </w:r>
    </w:p>
    <w:p>
      <w:pPr>
        <w:pStyle w:val="BodyText"/>
      </w:pPr>
      <w:r>
        <w:t xml:space="preserve">Project Manager must stay updated on changes in zoning laws, environmental impact assessments, and digital data sovereignty regulations. Failure to adapt quickly to regulatory shifts can halt progress entirely.</w:t>
      </w:r>
    </w:p>
    <w:bookmarkEnd w:id="22"/>
    <w:bookmarkStart w:id="23" w:name="stakeholder-management-and-communication"/>
    <w:p>
      <w:pPr>
        <w:pStyle w:val="Heading3"/>
      </w:pPr>
      <w:r>
        <w:t xml:space="preserve">3.2 Stakeholder Management and Communication</w:t>
      </w:r>
    </w:p>
    <w:p>
      <w:pPr>
        <w:pStyle w:val="FirstParagraph"/>
      </w:pPr>
      <w:r>
        <w:t xml:space="preserve">Communication styles in</w:t>
      </w:r>
    </w:p>
    <w:p>
      <w:pPr>
        <w:pStyle w:val="BodyText"/>
      </w:pPr>
      <w:r>
        <w:t xml:space="preserve">China Guangzhou often emphasize indirectness and harmony. A skilled</w:t>
      </w:r>
    </w:p>
    <w:p>
      <w:pPr>
        <w:pStyle w:val="BodyText"/>
      </w:pPr>
      <w:r>
        <w:t xml:space="preserve">Project Manager learns to read between the lines, understanding that a "maybe" often means "no," or that silence during meetings may indicate disagreement rather than agreement. Establishing clear, yet culturally sensitive, communication protocols is vital.</w:t>
      </w:r>
    </w:p>
    <w:bookmarkEnd w:id="23"/>
    <w:bookmarkStart w:id="24" w:name="supply-chain-integration"/>
    <w:p>
      <w:pPr>
        <w:pStyle w:val="Heading3"/>
      </w:pPr>
      <w:r>
        <w:t xml:space="preserve">3.3 Supply Chain Integration</w:t>
      </w:r>
    </w:p>
    <w:p>
      <w:pPr>
        <w:pStyle w:val="FirstParagraph"/>
      </w:pPr>
      <w:r>
        <w:t xml:space="preserve">Given Guangzhou’s position as a manufacturing hub, the</w:t>
      </w:r>
    </w:p>
    <w:p>
      <w:pPr>
        <w:pStyle w:val="BodyText"/>
      </w:pPr>
      <w:r>
        <w:t xml:space="preserve">Project Manager must oversee complex supply chains. This involves coordinating with local suppliers who may operate on different timelines and quality standards than those familiar to Western or Northern European clients.</w:t>
      </w:r>
    </w:p>
    <w:bookmarkEnd w:id="24"/>
    <w:bookmarkEnd w:id="25"/>
    <w:bookmarkStart w:id="27" w:name="X238df48ea3579a0cc7fa6af0f7ec057d23f83fa"/>
    <w:p>
      <w:pPr>
        <w:pStyle w:val="Heading2"/>
      </w:pPr>
      <w:r>
        <w:t xml:space="preserve">4. Case Scenario: The Smart City IoT Initiative</w:t>
      </w:r>
    </w:p>
    <w:p>
      <w:pPr>
        <w:pStyle w:val="FirstParagraph"/>
      </w:pPr>
      <w:r>
        <w:t xml:space="preserve">To illustrate these concepts, we analyze a hypothetical but representative scenario: the deployment of an Internet of Things (IoT) infrastructure for smart traffic management in</w:t>
      </w:r>
    </w:p>
    <w:p>
      <w:pPr>
        <w:pStyle w:val="BodyText"/>
      </w:pPr>
      <w:r>
        <w:t xml:space="preserve">China Guangzhou.</w:t>
      </w:r>
    </w:p>
    <w:bookmarkStart w:id="26" w:name="the-challenge"/>
    <w:p>
      <w:pPr>
        <w:pStyle w:val="Heading3"/>
      </w:pPr>
      <w:r>
        <w:t xml:space="preserve">4.1 The Challenge</w:t>
      </w:r>
    </w:p>
    <w:p>
      <w:pPr>
        <w:pStyle w:val="FirstParagraph"/>
      </w:pPr>
      <w:r>
        <w:t xml:space="preserve">The project required integrating thousands of sensors across major intersections in</w:t>
      </w:r>
    </w:p>
    <w:p>
      <w:pPr>
        <w:pStyle w:val="BodyText"/>
      </w:pPr>
      <w:r>
        <w:t xml:space="preserve">China Guangzhou, processing data through a central cloud platform, and ensuring real-time responsiveness. The</w:t>
      </w:r>
    </w:p>
    <w:p>
      <w:pPr>
        <w:pStyle w:val="BodyText"/>
      </w:pPr>
      <w:r>
        <w:t xml:space="preserve">Project Manager faced three primary hurdles:</w:t>
      </w:r>
    </w:p>
    <w:p>
      <w:pPr>
        <w:numPr>
          <w:ilvl w:val="0"/>
          <w:numId w:val="1001"/>
        </w:numPr>
        <w:pStyle w:val="Compact"/>
      </w:pPr>
      <w:r>
        <w:rPr>
          <w:bCs/>
          <w:b/>
        </w:rPr>
        <w:t xml:space="preserve">Timeline Pressure:</w:t>
      </w:r>
      <w:r>
        <w:t xml:space="preserve"> </w:t>
      </w:r>
      <w:r>
        <w:t xml:space="preserve">The launch coincided with the Canton Fair, requiring zero downtime during peak event weeks.</w:t>
      </w:r>
    </w:p>
    <w:p>
      <w:pPr>
        <w:numPr>
          <w:ilvl w:val="0"/>
          <w:numId w:val="1001"/>
        </w:numPr>
        <w:pStyle w:val="Compact"/>
      </w:pPr>
      <w:r>
        <w:rPr>
          <w:bCs/>
          <w:b/>
        </w:rPr>
        <w:t xml:space="preserve">Data Privacy:</w:t>
      </w:r>
      <w:r>
        <w:t xml:space="preserve"> </w:t>
      </w:r>
      <w:r>
        <w:t xml:space="preserve">Compliance with China’s Data Security Law and Personal Information Protection Law.</w:t>
      </w:r>
    </w:p>
    <w:p>
      <w:pPr>
        <w:numPr>
          <w:ilvl w:val="0"/>
          <w:numId w:val="1001"/>
        </w:numPr>
        <w:pStyle w:val="Compact"/>
      </w:pPr>
      <w:r>
        <w:t xml:space="preserve">Cultural Alignment: Managing a team composed of expatriate technical experts and local engineers with varying expectations regarding hierarchy and feedback.</w:t>
      </w:r>
    </w:p>
    <w:p>
      <w:pPr>
        <w:pStyle w:val="FirstParagraph"/>
      </w:pPr>
      <w:r>
        <w:t xml:space="preserve">4.2 Strategic Interventions by the</w:t>
      </w:r>
    </w:p>
    <w:p>
      <w:pPr>
        <w:pStyle w:val="BodyText"/>
      </w:pPr>
      <w:r>
        <w:t xml:space="preserve">Project Manager</w:t>
      </w:r>
    </w:p>
    <w:p>
      <w:pPr>
        <w:pStyle w:val="BodyText"/>
      </w:pPr>
      <w:r>
        <w:t xml:space="preserve">The</w:t>
      </w:r>
    </w:p>
    <w:p>
      <w:pPr>
        <w:pStyle w:val="BodyText"/>
      </w:pPr>
      <w:r>
        <w:t xml:space="preserve">Project Manager implemented several key strategies:</w:t>
      </w:r>
    </w:p>
    <w:p>
      <w:pPr>
        <w:numPr>
          <w:ilvl w:val="0"/>
          <w:numId w:val="1002"/>
        </w:numPr>
        <w:pStyle w:val="Compact"/>
      </w:pPr>
      <w:r>
        <w:rPr>
          <w:bCs/>
          <w:b/>
        </w:rPr>
        <w:t xml:space="preserve">Cultural Immersion:</w:t>
      </w:r>
      <w:r>
        <w:t xml:space="preserve"> </w:t>
      </w:r>
      <w:r>
        <w:t xml:space="preserve">Dedicated the first month to relationship building with local government liaisons, participating in traditional business dinners to foster trust.</w:t>
      </w:r>
    </w:p>
    <w:p>
      <w:pPr>
        <w:numPr>
          <w:ilvl w:val="0"/>
          <w:numId w:val="1002"/>
        </w:numPr>
        <w:pStyle w:val="Compact"/>
      </w:pPr>
      <w:r>
        <w:rPr>
          <w:bCs/>
          <w:b/>
        </w:rPr>
        <w:t xml:space="preserve">Leveraging Local Partnerships:</w:t>
      </w:r>
      <w:r>
        <w:t xml:space="preserve"> </w:t>
      </w:r>
      <w:r>
        <w:t xml:space="preserve">Collaborated with a local technology firm that had existing</w:t>
      </w:r>
      <w:r>
        <w:t xml:space="preserve"> </w:t>
      </w:r>
      <w:r>
        <w:rPr>
          <w:iCs/>
          <w:i/>
        </w:rPr>
        <w:t xml:space="preserve">Guanxi</w:t>
      </w:r>
      <w:r>
        <w:t xml:space="preserve"> </w:t>
      </w:r>
      <w:r>
        <w:t xml:space="preserve">with municipal authorities, thereby smoothing permit approvals.</w:t>
      </w:r>
    </w:p>
    <w:p>
      <w:pPr>
        <w:numPr>
          <w:ilvl w:val="0"/>
          <w:numId w:val="1002"/>
        </w:numPr>
        <w:pStyle w:val="Compact"/>
      </w:pPr>
      <w:r>
        <w:t xml:space="preserve">Agile Adaptation: Adopted a hybrid Agile-Waterfall methodology. While the hardware deployment followed strict Waterfall timelines to ensure quality control, the software development used Agile sprints to accommodate rapid feedback from local users in</w:t>
      </w:r>
    </w:p>
    <w:p>
      <w:pPr>
        <w:numPr>
          <w:ilvl w:val="0"/>
          <w:numId w:val="1000"/>
        </w:numPr>
        <w:pStyle w:val="Compact"/>
      </w:pPr>
      <w:r>
        <w:t xml:space="preserve">China Guangzhou.</w:t>
      </w:r>
    </w:p>
    <w:p>
      <w:pPr>
        <w:numPr>
          <w:ilvl w:val="0"/>
          <w:numId w:val="1002"/>
        </w:numPr>
        <w:pStyle w:val="Compact"/>
      </w:pPr>
      <w:r>
        <w:t xml:space="preserve">Transparent Communication: Established weekly "harmonization meetings" that focused not just on progress, but on addressing underlying concerns and maintaining team cohesion.</w:t>
      </w:r>
    </w:p>
    <w:bookmarkEnd w:id="26"/>
    <w:bookmarkEnd w:id="27"/>
    <w:bookmarkStart w:id="29" w:name="outcomes-and-analysis"/>
    <w:p>
      <w:pPr>
        <w:pStyle w:val="Heading2"/>
      </w:pPr>
      <w:r>
        <w:t xml:space="preserve">5. Outcomes and Analysis</w:t>
      </w:r>
    </w:p>
    <w:p>
      <w:pPr>
        <w:pStyle w:val="FirstParagraph"/>
      </w:pPr>
      <w:r>
        <w:t xml:space="preserve">The initiative was successfully launched two weeks ahead of the Canton Fair deadline. The</w:t>
      </w:r>
    </w:p>
    <w:p>
      <w:pPr>
        <w:pStyle w:val="BodyText"/>
      </w:pPr>
      <w:r>
        <w:t xml:space="preserve">Project Manager’s ability to navigate the unique socio-political landscape of</w:t>
      </w:r>
    </w:p>
    <w:p>
      <w:pPr>
        <w:pStyle w:val="BodyText"/>
      </w:pPr>
      <w:r>
        <w:t xml:space="preserve">China Guangzhou proved decisive.</w:t>
      </w:r>
    </w:p>
    <w:bookmarkStart w:id="28" w:name="key-success-factors"/>
    <w:p>
      <w:pPr>
        <w:pStyle w:val="Heading3"/>
      </w:pPr>
      <w:r>
        <w:t xml:space="preserve">5.1 Key Success Factors</w:t>
      </w:r>
    </w:p>
    <w:p>
      <w:pPr>
        <w:numPr>
          <w:ilvl w:val="0"/>
          <w:numId w:val="1003"/>
        </w:numPr>
        <w:pStyle w:val="Compact"/>
      </w:pPr>
      <w:r>
        <w:rPr>
          <w:bCs/>
          <w:b/>
        </w:rPr>
        <w:t xml:space="preserve">Cultural Intelligence:</w:t>
      </w:r>
      <w:r>
        <w:t xml:space="preserve"> </w:t>
      </w:r>
      <w:r>
        <w:t xml:space="preserve">The</w:t>
      </w:r>
    </w:p>
    <w:p>
      <w:pPr>
        <w:numPr>
          <w:ilvl w:val="0"/>
          <w:numId w:val="1000"/>
        </w:numPr>
        <w:pStyle w:val="Compact"/>
      </w:pPr>
      <w:r>
        <w:t xml:space="preserve">Project Manager prioritized understanding the "why" behind local practices, leading to higher buy-in from stakeholders.</w:t>
      </w:r>
    </w:p>
    <w:p>
      <w:pPr>
        <w:numPr>
          <w:ilvl w:val="0"/>
          <w:numId w:val="1003"/>
        </w:numPr>
        <w:pStyle w:val="Compact"/>
      </w:pPr>
      <w:r>
        <w:t xml:space="preserve">Regulatory Agility: Continuous monitoring of policy changes in</w:t>
      </w:r>
    </w:p>
    <w:p>
      <w:pPr>
        <w:numPr>
          <w:ilvl w:val="0"/>
          <w:numId w:val="1000"/>
        </w:numPr>
        <w:pStyle w:val="Compact"/>
      </w:pPr>
      <w:r>
        <w:t xml:space="preserve">China Guangzhou allowed for rapid pivots in data handling procedures.</w:t>
      </w:r>
    </w:p>
    <w:p>
      <w:pPr>
        <w:numPr>
          <w:ilvl w:val="0"/>
          <w:numId w:val="1003"/>
        </w:numPr>
        <w:pStyle w:val="Compact"/>
      </w:pPr>
      <w:r>
        <w:t xml:space="preserve">Stakeholder Trust: By honoring commitments and maintaining open lines of communication, the</w:t>
      </w:r>
    </w:p>
    <w:p>
      <w:pPr>
        <w:numPr>
          <w:ilvl w:val="0"/>
          <w:numId w:val="1000"/>
        </w:numPr>
        <w:pStyle w:val="Compact"/>
      </w:pPr>
      <w:r>
        <w:t xml:space="preserve">Project Manager built a reservoir of goodwill that facilitated crisis resolution when minor technical glitches occurred.</w:t>
      </w:r>
    </w:p>
    <w:p>
      <w:pPr>
        <w:pStyle w:val="FirstParagraph"/>
      </w:pPr>
      <w:r>
        <w:t xml:space="preserve">6. Lessons Learned for Future</w:t>
      </w:r>
    </w:p>
    <w:p>
      <w:pPr>
        <w:pStyle w:val="BodyText"/>
      </w:pPr>
      <w:r>
        <w:t xml:space="preserve">Project Managers</w:t>
      </w:r>
    </w:p>
    <w:p>
      <w:pPr>
        <w:pStyle w:val="BodyText"/>
      </w:pPr>
      <w:r>
        <w:t xml:space="preserve">This case study offers several actionable insights for professionals operating in</w:t>
      </w:r>
    </w:p>
    <w:p>
      <w:pPr>
        <w:pStyle w:val="BodyText"/>
      </w:pPr>
      <w:r>
        <w:t xml:space="preserve">China Guangzhou or similar markets:</w:t>
      </w:r>
    </w:p>
    <w:p>
      <w:pPr>
        <w:pStyle w:val="BodyText"/>
      </w:pPr>
      <w:r>
        <w:rPr>
          <w:bCs/>
          <w:b/>
        </w:rPr>
        <w:t xml:space="preserve">Lesson 1: Patience is Profitable.</w:t>
      </w:r>
      <w:r>
        <w:br/>
      </w:r>
      <w:r>
        <w:t xml:space="preserve">Rushing relationships in</w:t>
      </w:r>
    </w:p>
    <w:p>
      <w:pPr>
        <w:pStyle w:val="BodyText"/>
      </w:pPr>
      <w:r>
        <w:t xml:space="preserve">China Guangzhou often leads to delays. Investing time in building trust accelerates execution later.</w:t>
      </w:r>
    </w:p>
    <w:p>
      <w:pPr>
        <w:pStyle w:val="BodyText"/>
      </w:pPr>
      <w:r>
        <w:rPr>
          <w:bCs/>
          <w:b/>
        </w:rPr>
        <w:t xml:space="preserve">Lesson 2: Localize Your Approach.</w:t>
      </w:r>
      <w:r>
        <w:br/>
      </w:r>
      <w:r>
        <w:t xml:space="preserve">A one-size-fits-all</w:t>
      </w:r>
    </w:p>
    <w:p>
      <w:pPr>
        <w:pStyle w:val="BodyText"/>
      </w:pPr>
      <w:r>
        <w:t xml:space="preserve">Project Manager methodology will fail. Adapt processes to fit the local business rhythm and regulatory environment of</w:t>
      </w:r>
    </w:p>
    <w:p>
      <w:pPr>
        <w:pStyle w:val="BodyText"/>
      </w:pPr>
      <w:r>
        <w:t xml:space="preserve">China Guangzhou.</w:t>
      </w:r>
    </w:p>
    <w:p>
      <w:pPr>
        <w:pStyle w:val="BodyText"/>
      </w:pPr>
      <w:r>
        <w:rPr>
          <w:bCs/>
          <w:b/>
        </w:rPr>
        <w:t xml:space="preserve">Lesson 3: Embrace Digital Ecosystems.</w:t>
      </w:r>
      <w:r>
        <w:br/>
      </w:r>
      <w:r>
        <w:t xml:space="preserve">Utilize local digital tools (e.g., WeChat for business communication, DingTalk for project management) to integrate seamlessly into the workflow of teams in</w:t>
      </w:r>
    </w:p>
    <w:p>
      <w:pPr>
        <w:pStyle w:val="BodyText"/>
      </w:pPr>
      <w:r>
        <w:t xml:space="preserve">China Guangzhou.</w:t>
      </w:r>
    </w:p>
    <w:bookmarkEnd w:id="28"/>
    <w:bookmarkEnd w:id="29"/>
    <w:bookmarkStart w:id="30" w:name="conclusion"/>
    <w:p>
      <w:pPr>
        <w:pStyle w:val="Heading2"/>
      </w:pPr>
      <w:r>
        <w:t xml:space="preserve">7. Conclusion</w:t>
      </w:r>
    </w:p>
    <w:p>
      <w:pPr>
        <w:pStyle w:val="FirstParagraph"/>
      </w:pPr>
      <w:r>
        <w:t xml:space="preserve">The role of the</w:t>
      </w:r>
    </w:p>
    <w:p>
      <w:pPr>
        <w:pStyle w:val="BodyText"/>
      </w:pPr>
      <w:r>
        <w:t xml:space="preserve">Project Manager in</w:t>
      </w:r>
    </w:p>
    <w:p>
      <w:pPr>
        <w:pStyle w:val="BodyText"/>
      </w:pPr>
      <w:r>
        <w:t xml:space="preserve">China Guangzhou is multifaceted, requiring a blend of technical rigor, cultural empathy, and strategic foresight. As demonstrated in the Smart City IoT case study, success is not merely about delivering on time and within budget; it is about navigating the intricate web of relationships and regulations that define this vibrant region.</w:t>
      </w:r>
    </w:p>
    <w:p>
      <w:pPr>
        <w:pStyle w:val="BodyText"/>
      </w:pPr>
      <w:r>
        <w:t xml:space="preserve">For organizations looking to expand or operate within</w:t>
      </w:r>
    </w:p>
    <w:p>
      <w:pPr>
        <w:pStyle w:val="BodyText"/>
      </w:pPr>
      <w:r>
        <w:t xml:space="preserve">China Guangzhou, investing in a</w:t>
      </w:r>
    </w:p>
    <w:p>
      <w:pPr>
        <w:pStyle w:val="BodyText"/>
      </w:pPr>
      <w:r>
        <w:t xml:space="preserve">Project Manager with deep regional expertise is not an option—it is a necessity. The future of trade and technology integration in this hub depends on leaders who can bridge the gap between global ambition and local reality.</w:t>
      </w:r>
    </w:p>
    <w:p>
      <w:pPr>
        <w:pStyle w:val="BodyText"/>
      </w:pPr>
      <w:r>
        <w:rPr>
          <w:iCs/>
          <w:i/>
        </w:rPr>
        <w:t xml:space="preserve">This document serves as a foundational guide for understanding the nuances of project management in one of Asia’s most critical economic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2026-07-29T22:03:02Z</dcterms:created>
  <dcterms:modified xsi:type="dcterms:W3CDTF">2026-07-29T22:03:02Z</dcterms:modified>
</cp:coreProperties>
</file>

<file path=docProps/custom.xml><?xml version="1.0" encoding="utf-8"?>
<Properties xmlns="http://schemas.openxmlformats.org/officeDocument/2006/custom-properties" xmlns:vt="http://schemas.openxmlformats.org/officeDocument/2006/docPropsVTypes"/>
</file>