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Germany</w:t>
      </w:r>
      <w:r>
        <w:t xml:space="preserve"> </w:t>
      </w:r>
      <w:r>
        <w:t xml:space="preserve">Frankfurt</w:t>
      </w:r>
    </w:p>
    <w:bookmarkStart w:id="30" w:name="Xfcd80db4eaafd4288faf847362419b4fcce8855"/>
    <w:p>
      <w:pPr>
        <w:pStyle w:val="Heading1"/>
      </w:pPr>
      <w:r>
        <w:t xml:space="preserve">Case Study: Navigating Complex Infrastructure Transformation as a Project Manager in Germany Frankfurt</w:t>
      </w:r>
    </w:p>
    <w:p>
      <w:pPr>
        <w:pStyle w:val="FirstParagraph"/>
      </w:pPr>
      <w:r>
        <w:t xml:space="preserve">This document details the operational challenges, strategic interventions, and successful outcomes of a major fintech modernization initiative. It serves as an analytical review of the role of the</w:t>
      </w:r>
      <w:r>
        <w:t xml:space="preserve"> </w:t>
      </w:r>
      <w:r>
        <w:rPr>
          <w:bCs/>
          <w:b/>
        </w:rPr>
        <w:t xml:space="preserve">Project Manager</w:t>
      </w:r>
      <w:r>
        <w:t xml:space="preserve">, specifically focusing on the unique regulatory and cultural landscape of</w:t>
      </w:r>
      <w:r>
        <w:t xml:space="preserve"> </w:t>
      </w:r>
      <w:r>
        <w:rPr>
          <w:bCs/>
          <w:b/>
        </w:rPr>
        <w:t xml:space="preserve">Germany Frankfurt</w:t>
      </w:r>
      <w:r>
        <w:t xml:space="preserve">.</w:t>
      </w:r>
    </w:p>
    <w:bookmarkStart w:id="20" w:name="introduction-and-contextual-background"/>
    <w:p>
      <w:pPr>
        <w:pStyle w:val="Heading2"/>
      </w:pPr>
      <w:r>
        <w:t xml:space="preserve">1. Introduction and Contextual Background</w:t>
      </w:r>
    </w:p>
    <w:p>
      <w:pPr>
        <w:pStyle w:val="FirstParagraph"/>
      </w:pPr>
      <w:r>
        <w:t xml:space="preserve">In recent years, Germany has solidified its position as a premier financial hub in continental Europe. At the heart of this economic engine lies Frankfurt am Main, often referred to as "Mainhattan" due to its skyline dominated by banking headquarters and international financial institutions. For multinational corporations and local enterprises alike, conducting business in</w:t>
      </w:r>
      <w:r>
        <w:t xml:space="preserve"> </w:t>
      </w:r>
      <w:r>
        <w:rPr>
          <w:bCs/>
          <w:b/>
        </w:rPr>
        <w:t xml:space="preserve">Germany Frankfurt</w:t>
      </w:r>
      <w:r>
        <w:t xml:space="preserve"> </w:t>
      </w:r>
      <w:r>
        <w:t xml:space="preserve">requires more than just technical expertise; it demands a deep understanding of local compliance standards, labor laws, and the specific cultural nuances of German business practices.</w:t>
      </w:r>
    </w:p>
    <w:p>
      <w:pPr>
        <w:pStyle w:val="BodyText"/>
      </w:pPr>
      <w:r>
        <w:t xml:space="preserve">This case study examines the "Project Alpha" initiative undertaken by EuroFinance Solutions (a pseudonym for a leading regional bank). The project involved the migration of legacy core banking systems to a cloud-native infrastructure. The primary objective was to enhance data security, improve processing speed, and ensure full compliance with the General Data Protection Regulation (GDPR) and local BaFin regulations. The success of this high-stakes endeavor hinged critically on the leadership capabilities of the assigned</w:t>
      </w:r>
      <w:r>
        <w:t xml:space="preserve"> </w:t>
      </w:r>
      <w:r>
        <w:rPr>
          <w:bCs/>
          <w:b/>
        </w:rPr>
        <w:t xml:space="preserve">Project Manager</w:t>
      </w:r>
      <w:r>
        <w:t xml:space="preserve">.</w:t>
      </w:r>
    </w:p>
    <w:bookmarkEnd w:id="20"/>
    <w:bookmarkStart w:id="23" w:name="Xa4ccc0f1dd4d814415e1c30b49c3725b5d8a2ad"/>
    <w:p>
      <w:pPr>
        <w:pStyle w:val="Heading2"/>
      </w:pPr>
      <w:r>
        <w:t xml:space="preserve">2. The Role of the Project Manager in a German Context</w:t>
      </w:r>
    </w:p>
    <w:p>
      <w:pPr>
        <w:pStyle w:val="FirstParagraph"/>
      </w:pPr>
      <w:r>
        <w:t xml:space="preserve">The role of a</w:t>
      </w:r>
      <w:r>
        <w:t xml:space="preserve"> </w:t>
      </w:r>
      <w:r>
        <w:rPr>
          <w:bCs/>
          <w:b/>
        </w:rPr>
        <w:t xml:space="preserve">Project Manager</w:t>
      </w:r>
      <w:r>
        <w:t xml:space="preserve"> </w:t>
      </w:r>
      <w:r>
        <w:t xml:space="preserve">is universally challenging, but it takes on distinct characteristics when operating within the strict regulatory and high-quality standards associated with Germany. In this specific context, the</w:t>
      </w:r>
      <w:r>
        <w:t xml:space="preserve"> </w:t>
      </w:r>
      <w:r>
        <w:rPr>
          <w:bCs/>
          <w:b/>
        </w:rPr>
        <w:t xml:space="preserve">Project Manager</w:t>
      </w:r>
      <w:r>
        <w:t xml:space="preserve"> </w:t>
      </w:r>
      <w:r>
        <w:t xml:space="preserve">was not merely an administrator of schedules and budgets; they served as a bridge between technical engineering teams, executive stakeholders, and rigorous compliance officers.</w:t>
      </w:r>
    </w:p>
    <w:bookmarkStart w:id="21" w:name="navigating-regulatory-compliance"/>
    <w:p>
      <w:pPr>
        <w:pStyle w:val="Heading3"/>
      </w:pPr>
      <w:r>
        <w:t xml:space="preserve">2.1 Navigating Regulatory Compliance</w:t>
      </w:r>
    </w:p>
    <w:p>
      <w:pPr>
        <w:pStyle w:val="FirstParagraph"/>
      </w:pPr>
      <w:r>
        <w:t xml:space="preserve">Frankfurt is home to the European Central Bank (ECB) and the German Federal Financial Supervisory Authority (BaFin). Consequently, any IT project in this sector is subject to intense scrutiny. The</w:t>
      </w:r>
      <w:r>
        <w:t xml:space="preserve"> </w:t>
      </w:r>
      <w:r>
        <w:rPr>
          <w:bCs/>
          <w:b/>
        </w:rPr>
        <w:t xml:space="preserve">Project Manager</w:t>
      </w:r>
      <w:r>
        <w:t xml:space="preserve"> </w:t>
      </w:r>
      <w:r>
        <w:t xml:space="preserve">had to ensure that every phase of the agile development lifecycle was documented meticulously. Unlike some cultures where documentation might be seen as secondary to rapid deployment, in</w:t>
      </w:r>
      <w:r>
        <w:t xml:space="preserve"> </w:t>
      </w:r>
      <w:r>
        <w:rPr>
          <w:bCs/>
          <w:b/>
        </w:rPr>
        <w:t xml:space="preserve">Germany Frankfurt</w:t>
      </w:r>
      <w:r>
        <w:t xml:space="preserve">, thoroughness and traceability are paramount.</w:t>
      </w:r>
    </w:p>
    <w:p>
      <w:pPr>
        <w:pStyle w:val="BodyText"/>
      </w:pPr>
      <w:r>
        <w:t xml:space="preserve">The Project Manager implemented a dual-track approach: one stream for development velocity and another for compliance validation. This required the</w:t>
      </w:r>
      <w:r>
        <w:t xml:space="preserve"> </w:t>
      </w:r>
      <w:r>
        <w:rPr>
          <w:bCs/>
          <w:b/>
        </w:rPr>
        <w:t xml:space="preserve">Project Manager</w:t>
      </w:r>
      <w:r>
        <w:t xml:space="preserve"> </w:t>
      </w:r>
      <w:r>
        <w:t xml:space="preserve">to possess a strong understanding of legal frameworks, ensuring that data sovereignty laws were respected during the cloud migration process. Failure to adhere to these standards would have resulted in severe fines and operational shutdowns.</w:t>
      </w:r>
    </w:p>
    <w:bookmarkEnd w:id="21"/>
    <w:bookmarkStart w:id="22" w:name="Xb1d7f3ac0058ec613556f0f9c90e812e4fc2d16"/>
    <w:p>
      <w:pPr>
        <w:pStyle w:val="Heading3"/>
      </w:pPr>
      <w:r>
        <w:t xml:space="preserve">2.2 Cultural Integration and Communication Styles</w:t>
      </w:r>
    </w:p>
    <w:p>
      <w:pPr>
        <w:pStyle w:val="FirstParagraph"/>
      </w:pPr>
      <w:r>
        <w:t xml:space="preserve">Cultural intelligence was a key competency for the</w:t>
      </w:r>
      <w:r>
        <w:t xml:space="preserve"> </w:t>
      </w:r>
      <w:r>
        <w:rPr>
          <w:bCs/>
          <w:b/>
        </w:rPr>
        <w:t xml:space="preserve">Project Manager</w:t>
      </w:r>
      <w:r>
        <w:t xml:space="preserve">. The business culture in Germany is characterized by directness, precision, and a high value placed on punctuality and structure. The Project Manager had to adapt their communication style to be clear, factual, and devoid of unnecessary fluff. Ambiguity was treated as a risk factor rather than creative freedom.</w:t>
      </w:r>
    </w:p>
    <w:p>
      <w:pPr>
        <w:pStyle w:val="BodyText"/>
      </w:pPr>
      <w:r>
        <w:t xml:space="preserve">Furthermore, the</w:t>
      </w:r>
      <w:r>
        <w:t xml:space="preserve"> </w:t>
      </w:r>
      <w:r>
        <w:rPr>
          <w:bCs/>
          <w:b/>
        </w:rPr>
        <w:t xml:space="preserve">Project Manager</w:t>
      </w:r>
      <w:r>
        <w:t xml:space="preserve"> </w:t>
      </w:r>
      <w:r>
        <w:t xml:space="preserve">had to navigate the works council system (*Betriebsrat*), which is influential in German companies. Any changes affecting employee workflows or job roles required extensive consultation and consensus-building. The Project Manager dedicated significant time to these stakeholder meetings, recognizing that social license to operate within the organization was as important as technical success.</w:t>
      </w:r>
    </w:p>
    <w:bookmarkEnd w:id="22"/>
    <w:bookmarkEnd w:id="23"/>
    <w:bookmarkStart w:id="25" w:name="Xa601a730225785362f43d9acd6446456e4ea278"/>
    <w:p>
      <w:pPr>
        <w:pStyle w:val="Heading2"/>
      </w:pPr>
      <w:r>
        <w:t xml:space="preserve">3. Challenges Encountered in Germany Frankfurt</w:t>
      </w:r>
    </w:p>
    <w:bookmarkStart w:id="24" w:name="key-obstacles-identified"/>
    <w:p>
      <w:pPr>
        <w:pStyle w:val="Heading3"/>
      </w:pPr>
      <w:r>
        <w:t xml:space="preserve">Key Obstacles Identified:</w:t>
      </w:r>
    </w:p>
    <w:p>
      <w:pPr>
        <w:numPr>
          <w:ilvl w:val="0"/>
          <w:numId w:val="1001"/>
        </w:numPr>
        <w:pStyle w:val="Compact"/>
      </w:pPr>
      <w:r>
        <w:rPr>
          <w:bCs/>
          <w:b/>
        </w:rPr>
        <w:t xml:space="preserve">Data Privacy Rigidity:</w:t>
      </w:r>
      <w:r>
        <w:t xml:space="preserve">The GDPR implementation in Germany is among the strictest globally. The Project Manager faced immediate pushback from vendors who were accustomed to less stringent data handling protocols.</w:t>
      </w:r>
    </w:p>
    <w:p>
      <w:pPr>
        <w:numPr>
          <w:ilvl w:val="0"/>
          <w:numId w:val="1001"/>
        </w:numPr>
        <w:pStyle w:val="Compact"/>
      </w:pPr>
      <w:r>
        <w:rPr>
          <w:bCs/>
          <w:b/>
        </w:rPr>
        <w:t xml:space="preserve">Siloed Departments:</w:t>
      </w:r>
      <w:r>
        <w:t xml:space="preserve"> </w:t>
      </w:r>
      <w:r>
        <w:t xml:space="preserve">Traditional German corporate structures can sometimes be highly hierarchical and siloed. Breaking down these barriers to facilitate agile collaboration was a significant hurdle for the Project Manager.</w:t>
      </w:r>
    </w:p>
    <w:p>
      <w:pPr>
        <w:numPr>
          <w:ilvl w:val="0"/>
          <w:numId w:val="1001"/>
        </w:numPr>
        <w:pStyle w:val="Compact"/>
      </w:pPr>
      <w:r>
        <w:rPr>
          <w:bCs/>
          <w:b/>
        </w:rPr>
        <w:t xml:space="preserve">Labor Market Constraints:</w:t>
      </w:r>
      <w:r>
        <w:t xml:space="preserve">The high demand for specialized IT professionals in Frankfurt led to talent shortages. The Project Manager had to negotiate flexible work arrangements early on, respecting local labor laws regarding working hours and remote work limits.</w:t>
      </w:r>
    </w:p>
    <w:bookmarkEnd w:id="24"/>
    <w:bookmarkEnd w:id="25"/>
    <w:bookmarkStart w:id="26" w:name="Xb1a4c02cb3127ca726ba5b0728a5a16da672544"/>
    <w:p>
      <w:pPr>
        <w:pStyle w:val="Heading2"/>
      </w:pPr>
      <w:r>
        <w:t xml:space="preserve">4. Strategic Interventions by the Project Manager</w:t>
      </w:r>
    </w:p>
    <w:p>
      <w:pPr>
        <w:pStyle w:val="FirstParagraph"/>
      </w:pPr>
      <w:r>
        <w:t xml:space="preserve">To overcome these challenges, the</w:t>
      </w:r>
      <w:r>
        <w:t xml:space="preserve"> </w:t>
      </w:r>
      <w:r>
        <w:rPr>
          <w:bCs/>
          <w:b/>
        </w:rPr>
        <w:t xml:space="preserve">Project Manager</w:t>
      </w:r>
      <w:r>
        <w:t xml:space="preserve"> </w:t>
      </w:r>
      <w:r>
        <w:t xml:space="preserve">employed several strategic interventions tailored to the local environment:</w:t>
      </w:r>
    </w:p>
    <w:p>
      <w:pPr>
        <w:numPr>
          <w:ilvl w:val="0"/>
          <w:numId w:val="1002"/>
        </w:numPr>
        <w:pStyle w:val="Compact"/>
      </w:pPr>
      <w:r>
        <w:rPr>
          <w:bCs/>
          <w:b/>
        </w:rPr>
        <w:t xml:space="preserve">Rigorous Governance Frameworks:</w:t>
      </w:r>
      <w:r>
        <w:t xml:space="preserve">The Project Manager established a governance board that met weekly. These meetings were highly structured, with agendas distributed days in advance. This respect for preparation aligned well with local expectations and ensured efficient decision-making.</w:t>
      </w:r>
    </w:p>
    <w:p>
      <w:pPr>
        <w:numPr>
          <w:ilvl w:val="0"/>
          <w:numId w:val="1002"/>
        </w:numPr>
        <w:pStyle w:val="Compact"/>
      </w:pPr>
      <w:r>
        <w:rPr>
          <w:bCs/>
          <w:b/>
        </w:rPr>
        <w:t xml:space="preserve">Transparent Risk Management:</w:t>
      </w:r>
      <w:r>
        <w:t xml:space="preserve">In line with the German preference for risk aversion, the Project Manager maintained a live risk register that was visible to all stakeholders. By proactively identifying potential compliance or technical risks, the Project Manager built trust with senior leadership who valued foresight over reactive firefighting.</w:t>
      </w:r>
    </w:p>
    <w:p>
      <w:pPr>
        <w:numPr>
          <w:ilvl w:val="0"/>
          <w:numId w:val="1002"/>
        </w:numPr>
        <w:pStyle w:val="Compact"/>
      </w:pPr>
      <w:r>
        <w:rPr>
          <w:bCs/>
          <w:b/>
        </w:rPr>
        <w:t xml:space="preserve">Bilingual and Bi-cultural Liaison:</w:t>
      </w:r>
      <w:r>
        <w:t xml:space="preserve">Recognizing that many team members in Frankfurt were international expatriates while management was locally based, the</w:t>
      </w:r>
      <w:r>
        <w:t xml:space="preserve"> </w:t>
      </w:r>
      <w:r>
        <w:rPr>
          <w:bCs/>
          <w:b/>
        </w:rPr>
        <w:t xml:space="preserve">Project Manager</w:t>
      </w:r>
      <w:r>
        <w:t xml:space="preserve"> </w:t>
      </w:r>
      <w:r>
        <w:t xml:space="preserve">acted as a cultural translator. They explained the "why" behind local regulatory requirements to international developers and clarified technical constraints for local business units.</w:t>
      </w:r>
    </w:p>
    <w:p>
      <w:pPr>
        <w:numPr>
          <w:ilvl w:val="0"/>
          <w:numId w:val="1002"/>
        </w:numPr>
        <w:pStyle w:val="Compact"/>
      </w:pPr>
      <w:r>
        <w:rPr>
          <w:bCs/>
          <w:b/>
        </w:rPr>
        <w:t xml:space="preserve">Phased Rollouts:</w:t>
      </w:r>
      <w:r>
        <w:t xml:space="preserve">To mitigate risk, the Project Manager advocated for a phased rollout strategy rather than a "big bang" launch. This approach allowed for continuous feedback loops and incremental validation against BaFin guidelines, reducing the pressure on any single deployment date.</w:t>
      </w:r>
    </w:p>
    <w:bookmarkEnd w:id="26"/>
    <w:bookmarkStart w:id="27" w:name="outcomes-and-results"/>
    <w:p>
      <w:pPr>
        <w:pStyle w:val="Heading2"/>
      </w:pPr>
      <w:r>
        <w:t xml:space="preserve">5. Outcomes and Results</w:t>
      </w:r>
    </w:p>
    <w:p>
      <w:pPr>
        <w:pStyle w:val="FirstParagraph"/>
      </w:pPr>
      <w:r>
        <w:t xml:space="preserve">The successful execution of Project Alpha resulted in several tangible benefits for the organization operating in Germany Frankfurt:</w:t>
      </w:r>
    </w:p>
    <w:p>
      <w:pPr>
        <w:pStyle w:val="BodyText"/>
      </w:pPr>
      <w:r>
        <w:t xml:space="preserve">Metric</w:t>
      </w:r>
    </w:p>
    <w:p>
      <w:pPr>
        <w:pStyle w:val="BodyText"/>
      </w:pPr>
      <w:r>
        <w:t xml:space="preserve">Baseline</w:t>
      </w:r>
    </w:p>
    <w:p>
      <w:pPr>
        <w:pStyle w:val="BodyText"/>
      </w:pPr>
      <w:r>
        <w:t xml:space="preserve">Post-Implementation Result</w:t>
      </w:r>
    </w:p>
    <w:p>
      <w:pPr>
        <w:pStyle w:val="BodyText"/>
      </w:pPr>
      <w:r>
        <w:t xml:space="preserve">tbody"&gt;</w:t>
      </w:r>
      <w:r>
        <w:t xml:space="preserve"> </w:t>
      </w:r>
      <w:r>
        <w:t xml:space="preserve">tr td {padding: 10px;} tbody tr td {text-align center;} tbody tr:nth-child(odd) background-color white;tbody tr:nth-child(even) background-color f9f9f9;tbody td {font-weight bold;}tbody th background-color ecf0f1;}</w:t>
      </w:r>
    </w:p>
    <w:p>
      <w:pPr>
        <w:pStyle w:val="BodyText"/>
      </w:pPr>
      <w:r>
        <w:t xml:space="preserve">System Uptime</w:t>
      </w:r>
    </w:p>
    <w:p>
      <w:pPr>
        <w:pStyle w:val="BodyText"/>
      </w:pPr>
      <w:r>
        <w:t xml:space="preserve">98.5%</w:t>
      </w:r>
    </w:p>
    <w:p>
      <w:pPr>
        <w:pStyle w:val="BodyText"/>
      </w:pPr>
      <w:r>
        <w:t xml:space="preserve">100%</w:t>
      </w:r>
    </w:p>
    <w:p>
      <w:pPr>
        <w:pStyle w:val="BodyText"/>
      </w:pPr>
      <w:r>
        <w:t xml:space="preserve">Data Processing Time95 ms&lt; tr &gt;&lt; tdb &gt;12 ms</w:t>
      </w:r>
    </w:p>
    <w:p>
      <w:pPr>
        <w:pStyle w:val="BodyText"/>
      </w:pPr>
      <w:r>
        <w:t xml:space="preserve">Audit Compliance Score</w:t>
      </w:r>
    </w:p>
    <w:p>
      <w:pPr>
        <w:pStyle w:val="BodyText"/>
      </w:pPr>
      <w:r>
        <w:t xml:space="preserve">Pending Review</w:t>
      </w:r>
    </w:p>
    <w:p>
      <w:pPr>
        <w:pStyle w:val="BodyText"/>
      </w:pPr>
      <w:r>
        <w:t xml:space="preserve">Fully Compliant with BaFin Standards")&gt;Employee Satisfaction (Internal Stakeholders) 6.5/10&lt; tr &gt;&lt; tdb &gt;8.8/10</w:t>
      </w:r>
    </w:p>
    <w:p>
      <w:pPr>
        <w:pStyle w:val="BodyText"/>
      </w:pPr>
      <w:r>
        <w:t xml:space="preserve">The Project Manager’s ability to balance technical ambition with regulatory restraint was cited in internal reviews as the critical success factor. The project was delivered on time and within budget, setting a new benchmark for future IT initiatives in the region.</w:t>
      </w:r>
    </w:p>
    <w:bookmarkEnd w:id="27"/>
    <w:bookmarkStart w:id="28" w:name="lessons-learned"/>
    <w:p>
      <w:pPr>
        <w:pStyle w:val="Heading2"/>
      </w:pPr>
      <w:r>
        <w:t xml:space="preserve">6. Lessons Learned</w:t>
      </w:r>
    </w:p>
    <w:p>
      <w:pPr>
        <w:pStyle w:val="FirstParagraph"/>
      </w:pPr>
      <w:r>
        <w:t xml:space="preserve">This case study offers valuable insights for any Project Manager operating in similar high-regulation environments like Germany Frankfurt:</w:t>
      </w:r>
    </w:p>
    <w:p>
      <w:pPr>
        <w:numPr>
          <w:ilvl w:val="0"/>
          <w:numId w:val="1003"/>
        </w:numPr>
        <w:pStyle w:val="Compact"/>
      </w:pPr>
      <w:r>
        <w:rPr>
          <w:bCs/>
          <w:b/>
        </w:rPr>
        <w:t xml:space="preserve">Culture is not a soft skill; it is a risk mitigator.</w:t>
      </w:r>
      <w:r>
        <w:t xml:space="preserve">In Germany, ignoring local cultural and legal norms can halt progress completely. The Project Manager must invest time in understanding the *Betriebsrat* dynamics and local labor expectations.</w:t>
      </w:r>
    </w:p>
    <w:p>
      <w:pPr>
        <w:numPr>
          <w:ilvl w:val="0"/>
          <w:numId w:val="1003"/>
        </w:numPr>
        <w:pStyle w:val="Compact"/>
      </w:pPr>
      <w:r>
        <w:rPr>
          <w:bCs/>
          <w:b/>
        </w:rPr>
        <w:t xml:space="preserve">Documentation equals trust.</w:t>
      </w:r>
      <w:r>
        <w:t xml:space="preserve">In markets like Frankfurt, comprehensive documentation is not bureaucracy; it is evidence of quality and safety. The</w:t>
      </w:r>
      <w:r>
        <w:t xml:space="preserve"> </w:t>
      </w:r>
      <w:r>
        <w:rPr>
          <w:bCs/>
          <w:b/>
        </w:rPr>
        <w:t xml:space="preserve">Project Manager</w:t>
      </w:r>
      <w:r>
        <w:t xml:space="preserve"> </w:t>
      </w:r>
      <w:r>
        <w:t xml:space="preserve">should view documentation as a primary deliverable, not an afterthought.</w:t>
      </w:r>
    </w:p>
    <w:p>
      <w:pPr>
        <w:numPr>
          <w:ilvl w:val="0"/>
          <w:numId w:val="1003"/>
        </w:numPr>
        <w:pStyle w:val="Compact"/>
      </w:pPr>
      <w:r>
        <w:t xml:space="preserve">Direct communication builds efficiency.</w:t>
      </w:r>
    </w:p>
    <w:bookmarkEnd w:id="28"/>
    <w:bookmarkStart w:id="29" w:name="conclusion"/>
    <w:p>
      <w:pPr>
        <w:pStyle w:val="Heading2"/>
      </w:pPr>
      <w:r>
        <w:t xml:space="preserve">7. Conclusion</w:t>
      </w:r>
    </w:p>
    <w:p>
      <w:pPr>
        <w:pStyle w:val="FirstParagraph"/>
      </w:pPr>
      <w:r>
        <w:t xml:space="preserve">The successful completion of Project Alpha demonstrates that effective project management is highly contextual. For a</w:t>
      </w:r>
      <w:r>
        <w:t xml:space="preserve"> </w:t>
      </w:r>
      <w:r>
        <w:rPr>
          <w:bCs/>
          <w:b/>
        </w:rPr>
        <w:t xml:space="preserve">Project Manager</w:t>
      </w:r>
      <w:r>
        <w:t xml:space="preserve">, success in Germany Frankfurt requires more than standard PMBOK or Agile methodologies. It demands a nuanced approach that integrates strict regulatory compliance, respect for local labor structures, and a communication style that prioritizes clarity and precision.</w:t>
      </w:r>
    </w:p>
    <w:p>
      <w:pPr>
        <w:pStyle w:val="BodyText"/>
      </w:pPr>
      <w:r>
        <w:t xml:space="preserve">As financial technology continues to evolve in one of Europe's most critical economic hubs, the role of the</w:t>
      </w:r>
      <w:r>
        <w:t xml:space="preserve"> </w:t>
      </w:r>
      <w:r>
        <w:rPr>
          <w:bCs/>
          <w:b/>
        </w:rPr>
        <w:t xml:space="preserve">Project Manager</w:t>
      </w:r>
      <w:r>
        <w:t xml:space="preserve"> </w:t>
      </w:r>
      <w:r>
        <w:t xml:space="preserve">will become increasingly strategic. Those who can master the interplay between global technological trends and local German standards will be best positioned to deliver value. This case study serves as a testament to the importance of adapting management practices to the specific environment of Germany Frankfurt, proving that cultural and regulatory alignment is just as vital as technical execution.</w:t>
      </w:r>
    </w:p>
    <w:p>
      <w:pPr>
        <w:pStyle w:val="BodyText"/>
      </w:pPr>
      <w:r>
        <w:t xml:space="preserve">For organizations looking to replicate this success, we recommend hiring or training Project Managers who possess not only professional certification but also significant experience in the DACH (Germany, Austria, Switzerland) region. The unique challenges posed by the Frankfurt market require a leader who is comfortable navigating complexity with precision and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Germany Frankfurt</dc:title>
  <dc:creator/>
  <dc:language>en</dc:language>
  <cp:keywords/>
  <dcterms:created xsi:type="dcterms:W3CDTF">2026-07-29T04:56:54Z</dcterms:created>
  <dcterms:modified xsi:type="dcterms:W3CDTF">2026-07-29T04:56:54Z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