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Complex</w:t>
      </w:r>
      <w:r>
        <w:t xml:space="preserve"> </w:t>
      </w:r>
      <w:r>
        <w:t xml:space="preserve">Stakeholder</w:t>
      </w:r>
      <w:r>
        <w:t xml:space="preserve"> </w:t>
      </w:r>
      <w:r>
        <w:t xml:space="preserve">Dynamics</w:t>
      </w:r>
      <w:r>
        <w:t xml:space="preserve"> </w:t>
      </w:r>
      <w:r>
        <w:t xml:space="preserve">in</w:t>
      </w:r>
      <w:r>
        <w:t xml:space="preserve"> </w:t>
      </w:r>
      <w:r>
        <w:t xml:space="preserve">a</w:t>
      </w:r>
      <w:r>
        <w:t xml:space="preserve"> </w:t>
      </w:r>
      <w:r>
        <w:t xml:space="preserve">High-Pressure</w:t>
      </w:r>
      <w:r>
        <w:t xml:space="preserve"> </w:t>
      </w:r>
      <w:r>
        <w:t xml:space="preserve">Tech</w:t>
      </w:r>
      <w:r>
        <w:t xml:space="preserve"> </w:t>
      </w:r>
      <w:r>
        <w:t xml:space="preserve">Infrastructure</w:t>
      </w:r>
      <w:r>
        <w:t xml:space="preserve"> </w:t>
      </w:r>
      <w:r>
        <w:t xml:space="preserve">Project</w:t>
      </w:r>
    </w:p>
    <w:bookmarkStart w:id="34" w:name="X8b093445a37a2166173d7bcf083706d991e9956"/>
    <w:p>
      <w:pPr>
        <w:pStyle w:val="Heading1"/>
      </w:pPr>
      <w:r>
        <w:t xml:space="preserve">Case Study: The Tokyo Nexus Initiative – Leading Project Manager Excellence in Japan</w:t>
      </w:r>
    </w:p>
    <w:p>
      <w:pPr>
        <w:pStyle w:val="FirstParagraph"/>
      </w:pPr>
      <w:r>
        <w:rPr>
          <w:bCs/>
          <w:b/>
        </w:rPr>
        <w:t xml:space="preserve">Date:</w:t>
      </w:r>
      <w:r>
        <w:t xml:space="preserve"> </w:t>
      </w:r>
      <w:r>
        <w:t xml:space="preserve">October 2023</w:t>
      </w:r>
      <w:r>
        <w:br/>
      </w:r>
      <w:r>
        <w:rPr>
          <w:bCs/>
          <w:b/>
        </w:rPr>
        <w:t xml:space="preserve">Locus:</w:t>
      </w:r>
      <w:r>
        <w:t xml:space="preserve">Japan Tokyo</w:t>
      </w:r>
      <w:r>
        <w:br/>
      </w:r>
      <w:r>
        <w:rPr>
          <w:bCs/>
          <w:b/>
        </w:rPr>
        <w:t xml:space="preserve">Focused Role:</w:t>
      </w:r>
      <w:r>
        <w:t xml:space="preserve"> </w:t>
      </w:r>
      <w:r>
        <w:t xml:space="preserve">Project Manager</w:t>
      </w:r>
      <w:r>
        <w:br/>
      </w:r>
    </w:p>
    <w:p>
      <w:pPr>
        <w:pStyle w:val="BodyText"/>
      </w:pPr>
      <w:r>
        <w:t xml:space="preserve">This document explores the critical role of the</w:t>
      </w:r>
      <w:r>
        <w:t xml:space="preserve"> </w:t>
      </w:r>
      <w:r>
        <w:t xml:space="preserve">Project Manager</w:t>
      </w:r>
      <w:r>
        <w:t xml:space="preserve"> </w:t>
      </w:r>
      <w:r>
        <w:t xml:space="preserve">within the unique cultural and operational context of</w:t>
      </w:r>
      <w:r>
        <w:t xml:space="preserve"> </w:t>
      </w:r>
      <w:r>
        <w:t xml:space="preserve">Japan Tokyo</w:t>
      </w:r>
      <w:r>
        <w:t xml:space="preserve">. It details how effective leadership, cultural intelligence, and strategic communication were pivotal in delivering a major fintech infrastructure upgrade.</w:t>
      </w:r>
    </w:p>
    <w:bookmarkStart w:id="20" w:name="executive-summary"/>
    <w:p>
      <w:pPr>
        <w:pStyle w:val="Heading2"/>
      </w:pPr>
      <w:r>
        <w:t xml:space="preserve">1. Executive Summary</w:t>
      </w:r>
    </w:p>
    <w:p>
      <w:pPr>
        <w:pStyle w:val="FirstParagraph"/>
      </w:pPr>
      <w:r>
        <w:t xml:space="preserve">In the bustling metropolitan heart of</w:t>
      </w:r>
      <w:r>
        <w:t xml:space="preserve"> </w:t>
      </w:r>
      <w:r>
        <w:rPr>
          <w:bCs/>
          <w:b/>
        </w:rPr>
        <w:t xml:space="preserve">Japan Tokyo</w:t>
      </w:r>
      <w:r>
        <w:t xml:space="preserve">, speed and precision are paramount. However, traditional business practices often clash with modern agile methodologies. This case study examines a critical infrastructure project for a leading Japanese financial institution headquartered in Marunouchi,</w:t>
      </w:r>
      <w:r>
        <w:t xml:space="preserve"> </w:t>
      </w:r>
      <w:r>
        <w:rPr>
          <w:bCs/>
          <w:b/>
        </w:rPr>
        <w:t xml:space="preserve">Japan Tokyo</w:t>
      </w:r>
      <w:r>
        <w:t xml:space="preserve">. The core objective was to analyze the challenges faced by the assigned</w:t>
      </w:r>
      <w:r>
        <w:t xml:space="preserve"> </w:t>
      </w:r>
      <w:r>
        <w:t xml:space="preserve">Project Manager</w:t>
      </w:r>
      <w:r>
        <w:t xml:space="preserve"> </w:t>
      </w:r>
      <w:r>
        <w:t xml:space="preserve">and document the strategies employed to navigate hierarchical structures, consensus-building processes (Ringi), and high-stakes regulatory environments.</w:t>
      </w:r>
    </w:p>
    <w:bookmarkEnd w:id="20"/>
    <w:bookmarkStart w:id="22" w:name="project-background"/>
    <w:p>
      <w:pPr>
        <w:pStyle w:val="Heading2"/>
      </w:pPr>
      <w:r>
        <w:t xml:space="preserve">2. Project Background</w:t>
      </w:r>
    </w:p>
    <w:p>
      <w:pPr>
        <w:pStyle w:val="FirstParagraph"/>
      </w:pPr>
      <w:r>
        <w:t xml:space="preserve">The project, codenamed "Tokyo Nexus," involved migrating a legacy core banking system to a hybrid cloud environment. The scope was immense: processing over 10 million transactions daily without interruption. The timeline was aggressive, spanning 18 months, with a hard deadline tied to the fiscal year-end reporting requirements in</w:t>
      </w:r>
      <w:r>
        <w:t xml:space="preserve"> </w:t>
      </w:r>
      <w:r>
        <w:rPr>
          <w:bCs/>
          <w:b/>
        </w:rPr>
        <w:t xml:space="preserve">Japan Tokyo</w:t>
      </w:r>
      <w:r>
        <w:t xml:space="preserve">.</w:t>
      </w:r>
    </w:p>
    <w:bookmarkStart w:id="21" w:name="the-stakeholder-landscape"/>
    <w:p>
      <w:pPr>
        <w:pStyle w:val="Heading3"/>
      </w:pPr>
      <w:r>
        <w:t xml:space="preserve">The Stakeholder Landscape</w:t>
      </w:r>
    </w:p>
    <w:p>
      <w:pPr>
        <w:pStyle w:val="FirstParagraph"/>
      </w:pPr>
      <w:r>
        <w:t xml:space="preserve">The stakeholder map was complex. On one side were international tech vendors from Silicon Valley and London; on the other, internal senior management (Bucho and Shacho levels) in Tokyo who valued stability over innovation. The role of the</w:t>
      </w:r>
      <w:r>
        <w:t xml:space="preserve"> </w:t>
      </w:r>
      <w:r>
        <w:t xml:space="preserve">Project Manager</w:t>
      </w:r>
      <w:r>
        <w:t xml:space="preserve"> </w:t>
      </w:r>
      <w:r>
        <w:t xml:space="preserve">became not just about technical delivery, but about cultural translation and expectation management.</w:t>
      </w:r>
    </w:p>
    <w:bookmarkEnd w:id="21"/>
    <w:bookmarkEnd w:id="22"/>
    <w:bookmarkStart w:id="26" w:name="X7c2e529447ae35493b8173efc7059a1f07201a0"/>
    <w:p>
      <w:pPr>
        <w:pStyle w:val="Heading2"/>
      </w:pPr>
      <w:r>
        <w:t xml:space="preserve">3. Key Challenges Faced by the Project Manager</w:t>
      </w:r>
    </w:p>
    <w:bookmarkStart w:id="23" w:name="Xaf001b080137a67e864189b36c86759137403cc"/>
    <w:p>
      <w:pPr>
        <w:pStyle w:val="Heading3"/>
      </w:pPr>
      <w:r>
        <w:t xml:space="preserve">A. Cultural Nuances of Communication in Japan Tokyo</w:t>
      </w:r>
    </w:p>
    <w:p>
      <w:pPr>
        <w:pStyle w:val="FirstParagraph"/>
      </w:pPr>
      <w:r>
        <w:t xml:space="preserve">The most significant hurdle was communication style. In many Western contexts, direct conflict and open debate are seen as healthy project management practices. However, in the context of doing business in</w:t>
      </w:r>
      <w:r>
        <w:t xml:space="preserve"> </w:t>
      </w:r>
      <w:r>
        <w:rPr>
          <w:bCs/>
          <w:b/>
        </w:rPr>
        <w:t xml:space="preserve">Japan Tokyo</w:t>
      </w:r>
      <w:r>
        <w:t xml:space="preserve">, these approaches can cause a loss of face (Mentsu) and stall progress. The</w:t>
      </w:r>
      <w:r>
        <w:t xml:space="preserve"> </w:t>
      </w:r>
      <w:r>
        <w:t xml:space="preserve">Project Manager</w:t>
      </w:r>
      <w:r>
        <w:t xml:space="preserve"> </w:t>
      </w:r>
      <w:r>
        <w:t xml:space="preserve">initially struggled with the lack of explicit "no" from team members. In Japanese culture, a direct refusal is often avoided to maintain harmony (Wa). Consequently, the</w:t>
      </w:r>
      <w:r>
        <w:t xml:space="preserve"> </w:t>
      </w:r>
      <w:r>
        <w:t xml:space="preserve">Project Manager</w:t>
      </w:r>
      <w:r>
        <w:t xml:space="preserve"> </w:t>
      </w:r>
      <w:r>
        <w:t xml:space="preserve">had to develop high-level emotional intelligence (EQ) to read between the lines and identify blockers before they became crises.</w:t>
      </w:r>
    </w:p>
    <w:bookmarkEnd w:id="23"/>
    <w:bookmarkStart w:id="24" w:name="b.-the-ringi-system-and-decision-latency"/>
    <w:p>
      <w:pPr>
        <w:pStyle w:val="Heading3"/>
      </w:pPr>
      <w:r>
        <w:t xml:space="preserve">B. The Ringi System and Decision Latency</w:t>
      </w:r>
    </w:p>
    <w:p>
      <w:pPr>
        <w:pStyle w:val="FirstParagraph"/>
      </w:pPr>
      <w:r>
        <w:t xml:space="preserve">In</w:t>
      </w:r>
      <w:r>
        <w:t xml:space="preserve"> </w:t>
      </w:r>
      <w:r>
        <w:rPr>
          <w:bCs/>
          <w:b/>
        </w:rPr>
        <w:t xml:space="preserve">Japan Tokyo</w:t>
      </w:r>
      <w:r>
        <w:t xml:space="preserve">, major decisions often follow the *Ringi-seido* system, a bottom-up consensus-building process where documents circulate for seals and signatures from multiple departments. While thorough, this process is slow. The</w:t>
      </w:r>
      <w:r>
        <w:t xml:space="preserve"> </w:t>
      </w:r>
      <w:r>
        <w:t xml:space="preserve">Project Manager</w:t>
      </w:r>
      <w:r>
        <w:t xml:space="preserve"> </w:t>
      </w:r>
      <w:r>
        <w:t xml:space="preserve">faced pressure from international stakeholders demanding weekly sprint commitments that clashed with the monthly decision cycles of the Tokyo headquarters. Bridging this gap required the</w:t>
      </w:r>
      <w:r>
        <w:t xml:space="preserve"> </w:t>
      </w:r>
      <w:r>
        <w:t xml:space="preserve">Project Manager</w:t>
      </w:r>
      <w:r>
        <w:t xml:space="preserve"> </w:t>
      </w:r>
      <w:r>
        <w:t xml:space="preserve">to create "shadow timelines" that allowed technical teams to work on assumptions while waiting for formal bureaucratic approval.</w:t>
      </w:r>
    </w:p>
    <w:bookmarkEnd w:id="24"/>
    <w:bookmarkStart w:id="25" w:name="X28adc788f443007f3a28dee6fd7d40af244ef78"/>
    <w:p>
      <w:pPr>
        <w:pStyle w:val="Heading3"/>
      </w:pPr>
      <w:r>
        <w:t xml:space="preserve">C. Regulatory and Data Sovereignty Constraints</w:t>
      </w:r>
    </w:p>
    <w:p>
      <w:pPr>
        <w:pStyle w:val="FirstParagraph"/>
      </w:pPr>
      <w:r>
        <w:t xml:space="preserve">Moving financial data in and out of Japan requires strict adherence to the Act on Protection of Personal Information (APPI). The</w:t>
      </w:r>
      <w:r>
        <w:t xml:space="preserve"> </w:t>
      </w:r>
      <w:r>
        <w:t xml:space="preserve">Project Manager</w:t>
      </w:r>
      <w:r>
        <w:t xml:space="preserve"> </w:t>
      </w:r>
      <w:r>
        <w:t xml:space="preserve">had to coordinate closely with legal teams in Tokyo, ensuring that cloud architecture complied with local sovereignty laws. This required meticulous documentation and a risk-averse approach that often frustrated developers eager for rapid deployment.</w:t>
      </w:r>
    </w:p>
    <w:bookmarkEnd w:id="25"/>
    <w:bookmarkEnd w:id="26"/>
    <w:bookmarkStart w:id="30" w:name="strategic-interventions"/>
    <w:p>
      <w:pPr>
        <w:pStyle w:val="Heading2"/>
      </w:pPr>
      <w:r>
        <w:t xml:space="preserve">4. Strategic Interventions</w:t>
      </w:r>
    </w:p>
    <w:bookmarkStart w:id="27" w:name="X63c9da59a7157553347233ad1a0e468b2e29619"/>
    <w:p>
      <w:pPr>
        <w:pStyle w:val="Heading3"/>
      </w:pPr>
      <w:r>
        <w:t xml:space="preserve">A. Establishing a "Bridge" Communication Protocol</w:t>
      </w:r>
    </w:p>
    <w:p>
      <w:pPr>
        <w:pStyle w:val="FirstParagraph"/>
      </w:pPr>
      <w:r>
        <w:t xml:space="preserve">To address the communication gap, the</w:t>
      </w:r>
      <w:r>
        <w:t xml:space="preserve"> </w:t>
      </w:r>
      <w:r>
        <w:t xml:space="preserve">Project Manager</w:t>
      </w:r>
      <w:r>
        <w:t xml:space="preserve"> </w:t>
      </w:r>
      <w:r>
        <w:t xml:space="preserve">implemented a dual-layer reporting structure. Technical status updates were handled via agile boards visible to global teams, while high-level risk and milestone summaries were presented in formal *Hou-Ren-So* (Report, Contact, Consult) formats preferred by Tokyo management. This respected local hierarchies while maintaining transparency with international partners.</w:t>
      </w:r>
    </w:p>
    <w:bookmarkEnd w:id="27"/>
    <w:bookmarkStart w:id="28" w:name="b.-pre-selling-decisions"/>
    <w:p>
      <w:pPr>
        <w:pStyle w:val="Heading3"/>
      </w:pPr>
      <w:r>
        <w:t xml:space="preserve">B. Pre-Selling Decisions</w:t>
      </w:r>
    </w:p>
    <w:p>
      <w:pPr>
        <w:pStyle w:val="FirstParagraph"/>
      </w:pPr>
      <w:r>
        <w:t xml:space="preserve">Rather than waiting for the *Ringi* process to begin, the</w:t>
      </w:r>
      <w:r>
        <w:t xml:space="preserve"> </w:t>
      </w:r>
      <w:r>
        <w:t xml:space="preserve">Project Manager</w:t>
      </w:r>
      <w:r>
        <w:t xml:space="preserve"> </w:t>
      </w:r>
      <w:r>
        <w:t xml:space="preserve">engaged in extensive one-on-one informal meetings (Nomikai) with key decision-makers before formal proposals were drafted. By understanding individual concerns regarding risk and reputation, the</w:t>
      </w:r>
      <w:r>
        <w:t xml:space="preserve"> </w:t>
      </w:r>
      <w:r>
        <w:t xml:space="preserve">Project Manager</w:t>
      </w:r>
      <w:r>
        <w:t xml:space="preserve"> </w:t>
      </w:r>
      <w:r>
        <w:t xml:space="preserve">could tailor arguments to alleviate specific anxieties, thereby smoothing the path for consensus within</w:t>
      </w:r>
      <w:r>
        <w:t xml:space="preserve"> </w:t>
      </w:r>
      <w:r>
        <w:rPr>
          <w:bCs/>
          <w:b/>
        </w:rPr>
        <w:t xml:space="preserve">Japan Tokyo</w:t>
      </w:r>
      <w:r>
        <w:t xml:space="preserve">.</w:t>
      </w:r>
    </w:p>
    <w:bookmarkEnd w:id="28"/>
    <w:bookmarkStart w:id="29" w:name="c.-hybrid-agile-waterfall-methodology"/>
    <w:p>
      <w:pPr>
        <w:pStyle w:val="Heading3"/>
      </w:pPr>
      <w:r>
        <w:t xml:space="preserve">C. Hybrid Agile-Waterfall Methodology</w:t>
      </w:r>
    </w:p>
    <w:p>
      <w:pPr>
        <w:pStyle w:val="FirstParagraph"/>
      </w:pPr>
      <w:r>
        <w:t xml:space="preserve">The team adopted a hybrid model. The regulatory and infrastructure layers followed a Waterfall approach to ensure compliance and stability, while the user interface and application logic followed Agile methodologies. This allowed the</w:t>
      </w:r>
      <w:r>
        <w:t xml:space="preserve"> </w:t>
      </w:r>
      <w:r>
        <w:t xml:space="preserve">Project Manager</w:t>
      </w:r>
      <w:r>
        <w:t xml:space="preserve"> </w:t>
      </w:r>
      <w:r>
        <w:t xml:space="preserve">to demonstrate quick wins to stakeholders while maintaining rigorous control over critical backend systems.</w:t>
      </w:r>
    </w:p>
    <w:bookmarkEnd w:id="29"/>
    <w:bookmarkEnd w:id="30"/>
    <w:bookmarkStart w:id="31" w:name="outcomes-and-results"/>
    <w:p>
      <w:pPr>
        <w:pStyle w:val="Heading2"/>
      </w:pPr>
      <w:r>
        <w:t xml:space="preserve">5. Outcomes and Results</w:t>
      </w:r>
    </w:p>
    <w:p>
      <w:pPr>
        <w:pStyle w:val="FirstParagraph"/>
      </w:pPr>
      <w:r>
        <w:t xml:space="preserve">The Tokyo Nexus Initiative was successfully launched on schedule, with zero downtime during the migration window. The project processed its first million transactions in the new environment within 48 hours of launch.</w:t>
      </w:r>
    </w:p>
    <w:p>
      <w:pPr>
        <w:numPr>
          <w:ilvl w:val="0"/>
          <w:numId w:val="1001"/>
        </w:numPr>
        <w:pStyle w:val="Compact"/>
      </w:pPr>
      <w:r>
        <w:rPr>
          <w:bCs/>
          <w:b/>
        </w:rPr>
        <w:t xml:space="preserve">Budget Variance:</w:t>
      </w:r>
      <w:r>
        <w:t xml:space="preserve"> </w:t>
      </w:r>
      <w:r>
        <w:t xml:space="preserve">Completed within 2% of the original budget, despite scope changes mid-stream.</w:t>
      </w:r>
    </w:p>
    <w:p>
      <w:pPr>
        <w:numPr>
          <w:ilvl w:val="0"/>
          <w:numId w:val="1001"/>
        </w:numPr>
        <w:pStyle w:val="Compact"/>
      </w:pPr>
      <w:r>
        <w:rPr>
          <w:bCs/>
          <w:b/>
        </w:rPr>
        <w:t xml:space="preserve">Stakeholder Satisfaction:</w:t>
      </w:r>
    </w:p>
    <w:p>
      <w:pPr>
        <w:numPr>
          <w:ilvl w:val="0"/>
          <w:numId w:val="1000"/>
        </w:numPr>
        <w:pStyle w:val="Compact"/>
      </w:pPr>
      <w:r>
        <w:t xml:space="preserve">Satisfaction scores from Tokyo senior management were exceptionally high, largely attributed to the respectful handling of hierarchical protocols.</w:t>
      </w:r>
    </w:p>
    <w:p>
      <w:pPr>
        <w:numPr>
          <w:ilvl w:val="0"/>
          <w:numId w:val="1001"/>
        </w:numPr>
        <w:pStyle w:val="Compact"/>
      </w:pPr>
      <w:r>
        <w:rPr>
          <w:bCs/>
          <w:b/>
        </w:rPr>
        <w:t xml:space="preserve">Cultural Integration:</w:t>
      </w:r>
    </w:p>
    <w:p>
      <w:pPr>
        <w:numPr>
          <w:ilvl w:val="0"/>
          <w:numId w:val="1000"/>
        </w:numPr>
        <w:pStyle w:val="Compact"/>
      </w:pPr>
      <w:r>
        <w:t xml:space="preserve">The project team became a model for cross-cultural collaboration within the company. The success of the</w:t>
      </w:r>
      <w:r>
        <w:t xml:space="preserve"> </w:t>
      </w:r>
      <w:r>
        <w:t xml:space="preserve">Project Manager</w:t>
      </w:r>
      <w:r>
        <w:t xml:space="preserve"> </w:t>
      </w:r>
      <w:r>
        <w:t xml:space="preserve">in balancing Western efficiency with Japanese diligence led to a new corporate guideline for future international projects based in</w:t>
      </w:r>
      <w:r>
        <w:t xml:space="preserve"> </w:t>
      </w:r>
      <w:r>
        <w:rPr>
          <w:bCs/>
          <w:b/>
        </w:rPr>
        <w:t xml:space="preserve">Japan Tokyo</w:t>
      </w:r>
      <w:r>
        <w:t xml:space="preserve">.</w:t>
      </w:r>
    </w:p>
    <w:bookmarkEnd w:id="31"/>
    <w:bookmarkStart w:id="32" w:name="lessons-learned-and-best-practices"/>
    <w:p>
      <w:pPr>
        <w:pStyle w:val="Heading2"/>
      </w:pPr>
      <w:r>
        <w:t xml:space="preserve">6. Lessons Learned and Best Practices</w:t>
      </w:r>
    </w:p>
    <w:p>
      <w:pPr>
        <w:pStyle w:val="FirstParagraph"/>
      </w:pPr>
      <w:r>
        <w:t xml:space="preserve">This case study highlights that being a successful</w:t>
      </w:r>
      <w:r>
        <w:t xml:space="preserve"> </w:t>
      </w:r>
      <w:r>
        <w:t xml:space="preserve">Project Manager</w:t>
      </w:r>
      <w:r>
        <w:t xml:space="preserve"> </w:t>
      </w:r>
      <w:r>
        <w:t xml:space="preserve">in this region requires more than technical proficiency. It demands:</w:t>
      </w:r>
    </w:p>
    <w:p>
      <w:pPr>
        <w:numPr>
          <w:ilvl w:val="0"/>
          <w:numId w:val="1002"/>
        </w:numPr>
        <w:pStyle w:val="Compact"/>
      </w:pPr>
      <w:r>
        <w:rPr>
          <w:bCs/>
          <w:b/>
        </w:rPr>
        <w:t xml:space="preserve">Cultural Humility:</w:t>
      </w:r>
    </w:p>
    <w:p>
      <w:pPr>
        <w:numPr>
          <w:ilvl w:val="0"/>
          <w:numId w:val="1000"/>
        </w:numPr>
        <w:pStyle w:val="Compact"/>
      </w:pPr>
      <w:r>
        <w:t xml:space="preserve">A willingness to learn and adapt to local customs is non-negotiable.</w:t>
      </w:r>
    </w:p>
    <w:p>
      <w:pPr>
        <w:numPr>
          <w:ilvl w:val="0"/>
          <w:numId w:val="1002"/>
        </w:numPr>
        <w:pStyle w:val="Compact"/>
      </w:pPr>
      <w:r>
        <w:rPr>
          <w:bCs/>
          <w:b/>
        </w:rPr>
        <w:t xml:space="preserve">Patient Leadership:</w:t>
      </w:r>
    </w:p>
    <w:p>
      <w:pPr>
        <w:numPr>
          <w:ilvl w:val="0"/>
          <w:numId w:val="1000"/>
        </w:numPr>
        <w:pStyle w:val="Compact"/>
      </w:pPr>
      <w:r>
        <w:t xml:space="preserve">In the context of</w:t>
      </w:r>
      <w:r>
        <w:t xml:space="preserve"> </w:t>
      </w:r>
      <w:r>
        <w:rPr>
          <w:bCs/>
          <w:b/>
        </w:rPr>
        <w:t xml:space="preserve">Japan Tokyo</w:t>
      </w:r>
      <w:r>
        <w:t xml:space="preserve">, speed is often achieved through careful planning rather than rapid execution. The</w:t>
      </w:r>
      <w:r>
        <w:t xml:space="preserve"> </w:t>
      </w:r>
      <w:r>
        <w:t xml:space="preserve">Project Manager</w:t>
      </w:r>
      <w:r>
        <w:t xml:space="preserve"> </w:t>
      </w:r>
      <w:r>
        <w:t xml:space="preserve">must resist the urge to force Western-style immediacy.</w:t>
      </w:r>
    </w:p>
    <w:p>
      <w:pPr>
        <w:numPr>
          <w:ilvl w:val="0"/>
          <w:numId w:val="1002"/>
        </w:numPr>
        <w:pStyle w:val="Compact"/>
      </w:pPr>
      <w:r>
        <w:rPr>
          <w:bCs/>
          <w:b/>
        </w:rPr>
        <w:t xml:space="preserve">Nuanced Communication:</w:t>
      </w:r>
    </w:p>
    <w:p>
      <w:pPr>
        <w:numPr>
          <w:ilvl w:val="0"/>
          <w:numId w:val="1000"/>
        </w:numPr>
        <w:pStyle w:val="Compact"/>
      </w:pPr>
      <w:r>
        <w:t xml:space="preserve">Understanding the difference between what is said and what is meant is critical in high-context cultures.</w:t>
      </w:r>
    </w:p>
    <w:p>
      <w:pPr>
        <w:pStyle w:val="FirstParagraph"/>
      </w:pPr>
      <w:r>
        <w:t xml:space="preserve">The role of the</w:t>
      </w:r>
      <w:r>
        <w:t xml:space="preserve"> </w:t>
      </w:r>
      <w:r>
        <w:t xml:space="preserve">Project Manager</w:t>
      </w:r>
      <w:r>
        <w:t xml:space="preserve"> </w:t>
      </w:r>
      <w:r>
        <w:t xml:space="preserve">extends beyond task management; it involves being a cultural ambassador. When operating in hubs like</w:t>
      </w:r>
      <w:r>
        <w:t xml:space="preserve"> </w:t>
      </w:r>
      <w:r>
        <w:rPr>
          <w:bCs/>
          <w:b/>
        </w:rPr>
        <w:t xml:space="preserve">Japan Tokyo</w:t>
      </w:r>
      <w:r>
        <w:t xml:space="preserve">, the ability to harmonize conflicting expectations is the primary determinant of project success.</w:t>
      </w:r>
    </w:p>
    <w:bookmarkEnd w:id="32"/>
    <w:bookmarkStart w:id="33" w:name="conclusion"/>
    <w:p>
      <w:pPr>
        <w:pStyle w:val="Heading2"/>
      </w:pPr>
      <w:r>
        <w:t xml:space="preserve">7. Conclusion</w:t>
      </w:r>
    </w:p>
    <w:p>
      <w:pPr>
        <w:pStyle w:val="FirstParagraph"/>
      </w:pPr>
      <w:r>
        <w:t xml:space="preserve">The Tokyo Nexus case study serves as a testament to the complexities of global project management. It illustrates that when a</w:t>
      </w:r>
      <w:r>
        <w:t xml:space="preserve"> </w:t>
      </w:r>
      <w:r>
        <w:t xml:space="preserve">Project Manager</w:t>
      </w:r>
      <w:r>
        <w:t xml:space="preserve"> </w:t>
      </w:r>
      <w:r>
        <w:t xml:space="preserve">successfully integrates local cultural nuances with international best practices, projects in dynamic environments like</w:t>
      </w:r>
      <w:r>
        <w:t xml:space="preserve"> </w:t>
      </w:r>
      <w:r>
        <w:rPr>
          <w:bCs/>
          <w:b/>
        </w:rPr>
        <w:t xml:space="preserve">Japan Tokyo</w:t>
      </w:r>
      <w:r>
        <w:t xml:space="preserve"> </w:t>
      </w:r>
      <w:r>
        <w:t xml:space="preserve">can achieve extraordinary results. The key takeaway is that leadership in this region is relational and consensus-driven, requiring a delicate balance of respect, patience, and strategic foresight.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Complex Stakeholder Dynamics in a High-Pressure Tech Infrastructure Project</dc:title>
  <dc:creator/>
  <cp:keywords/>
  <dcterms:created xsi:type="dcterms:W3CDTF">2026-07-29T10:55:53Z</dcterms:created>
  <dcterms:modified xsi:type="dcterms:W3CDTF">2026-07-29T10:55:53Z</dcterms:modified>
</cp:coreProperties>
</file>

<file path=docProps/custom.xml><?xml version="1.0" encoding="utf-8"?>
<Properties xmlns="http://schemas.openxmlformats.org/officeDocument/2006/custom-properties" xmlns:vt="http://schemas.openxmlformats.org/officeDocument/2006/docPropsVTypes"/>
</file>