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4b29043f7fa98f68f2095ac0558efed608e2de1"/>
    <w:p>
      <w:pPr>
        <w:pStyle w:val="Heading1"/>
      </w:pPr>
      <w:r>
        <w:t xml:space="preserve">A Tale of Precision and Resilience: The Midtown Vertical Expansion Initiative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New York City</w:t>
      </w:r>
      <w:r>
        <w:br/>
      </w:r>
      <w:r>
        <w:rPr>
          <w:bCs/>
          <w:b/>
        </w:rPr>
        <w:t xml:space="preserve">Subject:</w:t>
      </w:r>
      <w:r>
        <w:t xml:space="preserve">The role of the Project Manager in delivering complex infrastructure within a high-density urban environment.</w:t>
      </w:r>
    </w:p>
    <w:bookmarkStart w:id="20" w:name="i.-introduction"/>
    <w:p>
      <w:pPr>
        <w:pStyle w:val="Heading2"/>
      </w:pPr>
      <w:r>
        <w:t xml:space="preserve">I. Introduction</w:t>
      </w:r>
    </w:p>
    <w:p>
      <w:pPr>
        <w:pStyle w:val="FirstParagraph"/>
      </w:pPr>
      <w:r>
        <w:t xml:space="preserve">In the bustling heart of Manhattan, where real estate is at a premium and logistical constraints are severe, the execution of construction projects requires more than just technical engineering skills; it demands exceptional leadership and strategic foresight. This case study examines a hypothetical but highly representative scenario involving a mid-sized commercial development in</w:t>
      </w:r>
      <w:r>
        <w:t xml:space="preserve"> </w:t>
      </w:r>
      <w:r>
        <w:rPr>
          <w:bCs/>
          <w:b/>
        </w:rPr>
        <w:t xml:space="preserve">United States New York City</w:t>
      </w:r>
      <w:r>
        <w:t xml:space="preserve">. The central figure driving this initiative is the</w:t>
      </w:r>
      <w:r>
        <w:t xml:space="preserve"> </w:t>
      </w:r>
      <w:r>
        <w:t xml:space="preserve">Project Manager</w:t>
      </w:r>
      <w:r>
        <w:t xml:space="preserve">, whose ability to navigate the unique challenges of one of the world's most complex urban landscapes served as the deciding factor between project failure and triumphant delivery.</w:t>
      </w:r>
    </w:p>
    <w:p>
      <w:pPr>
        <w:pStyle w:val="BodyText"/>
      </w:pPr>
      <w:r>
        <w:t xml:space="preserve">The objective was clear: convert a historic, underutilized warehouse into a modern, LEED-certified mixed-use commercial space. However, the context in</w:t>
      </w:r>
      <w:r>
        <w:t xml:space="preserve"> </w:t>
      </w:r>
      <w:r>
        <w:rPr>
          <w:bCs/>
          <w:b/>
        </w:rPr>
        <w:t xml:space="preserve">United States New York City</w:t>
      </w:r>
      <w:r>
        <w:t xml:space="preserve"> </w:t>
      </w:r>
      <w:r>
        <w:t xml:space="preserve">introduced layers of complexity that are rarely found in suburban developments. The intersection of strict municipal codes, tight timelines, and a highly unionized workforce created a pressure cooker environment. This document analyzes how the</w:t>
      </w:r>
      <w:r>
        <w:t xml:space="preserve"> </w:t>
      </w:r>
      <w:r>
        <w:t xml:space="preserve">Project Manager</w:t>
      </w:r>
      <w:r>
        <w:t xml:space="preserve"> </w:t>
      </w:r>
      <w:r>
        <w:t xml:space="preserve">orchestrated resources to meet these demands.</w:t>
      </w:r>
    </w:p>
    <w:bookmarkEnd w:id="20"/>
    <w:bookmarkStart w:id="21" w:name="X03623b985370061577f666a13abd731f2080650"/>
    <w:p>
      <w:pPr>
        <w:pStyle w:val="Heading2"/>
      </w:pPr>
      <w:r>
        <w:t xml:space="preserve">II. The Challenge: Navigating the Urban Maze</w:t>
      </w:r>
    </w:p>
    <w:p>
      <w:pPr>
        <w:pStyle w:val="FirstParagraph"/>
      </w:pPr>
      <w:r>
        <w:t xml:space="preserve">The site selected for this development was located in Midtown West, an area notorious for its congested traffic and rigorous noise ordinances. For a</w:t>
      </w:r>
      <w:r>
        <w:t xml:space="preserve"> </w:t>
      </w:r>
      <w:r>
        <w:t xml:space="preserve">Project Manager</w:t>
      </w:r>
      <w:r>
        <w:t xml:space="preserve">, the initial assessment revealed three primary hurdles:</w:t>
      </w:r>
    </w:p>
    <w:p>
      <w:pPr>
        <w:numPr>
          <w:ilvl w:val="0"/>
          <w:numId w:val="1001"/>
        </w:numPr>
        <w:pStyle w:val="Compact"/>
      </w:pPr>
      <w:r>
        <w:rPr>
          <w:bCs/>
          <w:b/>
        </w:rPr>
        <w:t xml:space="preserve">Logistical Constraints:</w:t>
      </w:r>
      <w:r>
        <w:t xml:space="preserve"> </w:t>
      </w:r>
      <w:r>
        <w:t xml:space="preserve">With narrow streets and limited loading dock availability, the delivery of materials had to be synchronized with military precision to prevent blocking city traffic, which carries heavy fines in</w:t>
      </w:r>
      <w:r>
        <w:t xml:space="preserve"> </w:t>
      </w:r>
      <w:r>
        <w:rPr>
          <w:bCs/>
          <w:b/>
        </w:rPr>
        <w:t xml:space="preserve">United States New York City</w:t>
      </w:r>
      <w:r>
        <w:t xml:space="preserve">.</w:t>
      </w:r>
    </w:p>
    <w:p>
      <w:pPr>
        <w:numPr>
          <w:ilvl w:val="0"/>
          <w:numId w:val="1001"/>
        </w:numPr>
        <w:pStyle w:val="Compact"/>
      </w:pPr>
      <w:r>
        <w:rPr>
          <w:bCs/>
          <w:b/>
        </w:rPr>
        <w:t xml:space="preserve">Municipal Compliance:</w:t>
      </w:r>
      <w:r>
        <w:t xml:space="preserve"> </w:t>
      </w:r>
      <w:r>
        <w:t xml:space="preserve">Navigating the Department of Buildings (DOB) processes in</w:t>
      </w:r>
      <w:r>
        <w:t xml:space="preserve"> </w:t>
      </w:r>
      <w:r>
        <w:rPr>
          <w:bCs/>
          <w:b/>
        </w:rPr>
        <w:t xml:space="preserve">United States New York City</w:t>
      </w:r>
      <w:r>
        <w:t xml:space="preserve"> </w:t>
      </w:r>
      <w:r>
        <w:t xml:space="preserve">is notoriously bureaucratic. Any deviation from approved plans could result in stop-work orders, costing millions in delays.</w:t>
      </w:r>
    </w:p>
    <w:p>
      <w:pPr>
        <w:numPr>
          <w:ilvl w:val="0"/>
          <w:numId w:val="1001"/>
        </w:numPr>
        <w:pStyle w:val="Compact"/>
      </w:pPr>
      <w:r>
        <w:rPr>
          <w:bCs/>
          <w:b/>
        </w:rPr>
        <w:t xml:space="preserve">Stakeholder Management:</w:t>
      </w:r>
      <w:r>
        <w:t xml:space="preserve"> </w:t>
      </w:r>
      <w:r>
        <w:t xml:space="preserve">The project involved multiple stakeholders, including local community boards, luxury retail tenants waiting for space, and senior investors who demanded aggressive cost controls.</w:t>
      </w:r>
    </w:p>
    <w:p>
      <w:pPr>
        <w:pStyle w:val="FirstParagraph"/>
      </w:pPr>
      <w:r>
        <w:t xml:space="preserve">The role of the</w:t>
      </w:r>
      <w:r>
        <w:t xml:space="preserve"> </w:t>
      </w:r>
      <w:r>
        <w:t xml:space="preserve">Project Manager</w:t>
      </w:r>
      <w:r>
        <w:t xml:space="preserve"> </w:t>
      </w:r>
      <w:r>
        <w:t xml:space="preserve">was not merely to oversee construction but to act as a diplomat, a strategist, and a crisis manager simultaneously. The stakes were high; any delay would push the opening past the holiday shopping season, significantly impacting revenue projections.</w:t>
      </w:r>
    </w:p>
    <w:bookmarkEnd w:id="21"/>
    <w:bookmarkStart w:id="25" w:name="Xba947fdb335266c5ffaf460857e066f20047ec8"/>
    <w:p>
      <w:pPr>
        <w:pStyle w:val="Heading2"/>
      </w:pPr>
      <w:r>
        <w:t xml:space="preserve">III. Strategic Execution: The Project Manager’s Approach</w:t>
      </w:r>
    </w:p>
    <w:p>
      <w:pPr>
        <w:pStyle w:val="FirstParagraph"/>
      </w:pPr>
      <w:r>
        <w:t xml:space="preserve">The</w:t>
      </w:r>
      <w:r>
        <w:t xml:space="preserve"> </w:t>
      </w:r>
      <w:r>
        <w:t xml:space="preserve">Project Manager</w:t>
      </w:r>
      <w:r>
        <w:t xml:space="preserve"> </w:t>
      </w:r>
      <w:r>
        <w:t xml:space="preserve">adopted a hybrid approach, combining traditional Waterfall methodologies for regulatory compliance with Agile principles for internal team coordination. Recognizing the specific context of working in</w:t>
      </w:r>
      <w:r>
        <w:t xml:space="preserve"> </w:t>
      </w:r>
      <w:r>
        <w:rPr>
          <w:bCs/>
          <w:b/>
        </w:rPr>
        <w:t xml:space="preserve">United States New York City</w:t>
      </w:r>
      <w:r>
        <w:t xml:space="preserve">, several key strategies were implemented:</w:t>
      </w:r>
    </w:p>
    <w:bookmarkStart w:id="22" w:name="a.-hyper-local-supply-chain-management"/>
    <w:p>
      <w:pPr>
        <w:pStyle w:val="Heading3"/>
      </w:pPr>
      <w:r>
        <w:t xml:space="preserve">A. Hyper-Local Supply Chain Management</w:t>
      </w:r>
    </w:p>
    <w:p>
      <w:pPr>
        <w:pStyle w:val="FirstParagraph"/>
      </w:pPr>
      <w:r>
        <w:t xml:space="preserve">Understanding that trucking hours in</w:t>
      </w:r>
      <w:r>
        <w:t xml:space="preserve"> </w:t>
      </w:r>
      <w:r>
        <w:rPr>
          <w:bCs/>
          <w:b/>
        </w:rPr>
        <w:t xml:space="preserve">United States New York City</w:t>
      </w:r>
      <w:r>
        <w:t xml:space="preserve"> </w:t>
      </w:r>
      <w:r>
        <w:t xml:space="preserve">are restricted, the</w:t>
      </w:r>
      <w:r>
        <w:t xml:space="preserve"> </w:t>
      </w:r>
      <w:r>
        <w:t xml:space="preserve">Project Manager</w:t>
      </w:r>
      <w:r>
        <w:t xml:space="preserve"> </w:t>
      </w:r>
      <w:r>
        <w:t xml:space="preserve">established a "Just-in-Time" delivery protocol with local suppliers. Instead of storing large inventories on-site, which is difficult due to limited square footage, materials were delivered in staggered shifts between 10 PM and 5 AM. This required the</w:t>
      </w:r>
      <w:r>
        <w:t xml:space="preserve"> </w:t>
      </w:r>
      <w:r>
        <w:t xml:space="preserve">Project Manager</w:t>
      </w:r>
      <w:r>
        <w:t xml:space="preserve"> </w:t>
      </w:r>
      <w:r>
        <w:t xml:space="preserve">to maintain constant communication with union leaders and logistics coordinators, ensuring that night crews were fully prepared to receive loads immediately upon arrival.</w:t>
      </w:r>
    </w:p>
    <w:bookmarkEnd w:id="22"/>
    <w:bookmarkStart w:id="23" w:name="b.-proactive-regulatory-engagement"/>
    <w:p>
      <w:pPr>
        <w:pStyle w:val="Heading3"/>
      </w:pPr>
      <w:r>
        <w:t xml:space="preserve">B. Proactive Regulatory Engagement</w:t>
      </w:r>
    </w:p>
    <w:p>
      <w:pPr>
        <w:pStyle w:val="FirstParagraph"/>
      </w:pPr>
      <w:r>
        <w:t xml:space="preserve">Rather than waiting for inspections, the</w:t>
      </w:r>
      <w:r>
        <w:t xml:space="preserve"> </w:t>
      </w:r>
      <w:r>
        <w:t xml:space="preserve">Project Manager</w:t>
      </w:r>
      <w:r>
        <w:t xml:space="preserve"> </w:t>
      </w:r>
      <w:r>
        <w:t xml:space="preserve">initiated weekly pre-inspection meetings with DOB officials. By proactively addressing potential code violations before they became formal issues, the team avoided common pitfalls associated with historic building renovations in</w:t>
      </w:r>
      <w:r>
        <w:t xml:space="preserve"> </w:t>
      </w:r>
      <w:r>
        <w:rPr>
          <w:bCs/>
          <w:b/>
        </w:rPr>
        <w:t xml:space="preserve">United States New York City</w:t>
      </w:r>
      <w:r>
        <w:t xml:space="preserve">. This relationship-building was crucial; it transformed adversarial regulatory interactions into collaborative problem-solving sessions.</w:t>
      </w:r>
    </w:p>
    <w:bookmarkEnd w:id="23"/>
    <w:bookmarkStart w:id="24" w:name="Xc93a609913c9d3b6664fab409c4ea9d8ba458ce"/>
    <w:p>
      <w:pPr>
        <w:pStyle w:val="Heading3"/>
      </w:pPr>
      <w:r>
        <w:t xml:space="preserve">C. Stakeholder Transparency and Communication</w:t>
      </w:r>
    </w:p>
    <w:p>
      <w:pPr>
        <w:pStyle w:val="FirstParagraph"/>
      </w:pPr>
      <w:r>
        <w:t xml:space="preserve">The</w:t>
      </w:r>
      <w:r>
        <w:t xml:space="preserve"> </w:t>
      </w:r>
      <w:r>
        <w:t xml:space="preserve">Project Manager</w:t>
      </w:r>
      <w:r>
        <w:t xml:space="preserve"> </w:t>
      </w:r>
      <w:r>
        <w:t xml:space="preserve">implemented a digital dashboard accessible to all key stakeholders. This real-time tracking system displayed progress metrics, budget burn rates, and risk assessments. In the high-stakes environment of New York commercial real estate, transparency built trust. When unexpected structural issues arose behind a historic façade—common in</w:t>
      </w:r>
      <w:r>
        <w:t xml:space="preserve"> </w:t>
      </w:r>
      <w:r>
        <w:rPr>
          <w:bCs/>
          <w:b/>
        </w:rPr>
        <w:t xml:space="preserve">United States New York City</w:t>
      </w:r>
      <w:r>
        <w:t xml:space="preserve"> </w:t>
      </w:r>
      <w:r>
        <w:t xml:space="preserve">architecture—the dashboard allowed investors to see immediate mitigation plans rather than surprises.</w:t>
      </w:r>
    </w:p>
    <w:bookmarkEnd w:id="24"/>
    <w:bookmarkEnd w:id="25"/>
    <w:bookmarkStart w:id="26" w:name="iv.-overcoming-critical-crises"/>
    <w:p>
      <w:pPr>
        <w:pStyle w:val="Heading2"/>
      </w:pPr>
      <w:r>
        <w:t xml:space="preserve">IV. Overcoming Critical Crises</w:t>
      </w:r>
    </w:p>
    <w:p>
      <w:pPr>
        <w:pStyle w:val="FirstParagraph"/>
      </w:pPr>
      <w:r>
        <w:t xml:space="preserve">No case study of a major initiative is complete without addressing the inevitable crises. Halfway through the construction phase, a severe labor shortage occurred due to a sudden strike threat within one of the local trade unions in</w:t>
      </w:r>
      <w:r>
        <w:t xml:space="preserve"> </w:t>
      </w:r>
      <w:r>
        <w:rPr>
          <w:bCs/>
          <w:b/>
        </w:rPr>
        <w:t xml:space="preserve">United States New York City</w:t>
      </w:r>
      <w:r>
        <w:t xml:space="preserve">. The site risked shutting down entirely.</w:t>
      </w:r>
    </w:p>
    <w:p>
      <w:pPr>
        <w:pStyle w:val="BodyText"/>
      </w:pPr>
      <w:r>
        <w:t xml:space="preserve">The</w:t>
      </w:r>
      <w:r>
        <w:t xml:space="preserve"> </w:t>
      </w:r>
      <w:r>
        <w:t xml:space="preserve">Project Manager</w:t>
      </w:r>
      <w:r>
        <w:t xml:space="preserve"> </w:t>
      </w:r>
      <w:r>
        <w:t xml:space="preserve">responded swiftly. Rather than panicking, they leveraged pre-established contingency contracts with alternative certified contractors who specialized in emergency coverage. Simultaneously, the</w:t>
      </w:r>
      <w:r>
        <w:t xml:space="preserve"> </w:t>
      </w:r>
      <w:r>
        <w:t xml:space="preserve">Project Manager</w:t>
      </w:r>
      <w:r>
        <w:t xml:space="preserve"> </w:t>
      </w:r>
      <w:r>
        <w:t xml:space="preserve">negotiated directly with union representatives, offering flexible scheduling benefits to workers willing to cross-pollinate between teams. This dual approach not only resolved the immediate labor shortage but also strengthened the long-term relationships between management and labor unions—a critical asset in</w:t>
      </w:r>
      <w:r>
        <w:t xml:space="preserve"> </w:t>
      </w:r>
      <w:r>
        <w:rPr>
          <w:bCs/>
          <w:b/>
        </w:rPr>
        <w:t xml:space="preserve">United States New York City</w:t>
      </w:r>
      <w:r>
        <w:t xml:space="preserve">, where labor dynamics heavily influence project viability.</w:t>
      </w:r>
    </w:p>
    <w:bookmarkEnd w:id="26"/>
    <w:bookmarkStart w:id="27" w:name="v.-outcomes-and-impact"/>
    <w:p>
      <w:pPr>
        <w:pStyle w:val="Heading2"/>
      </w:pPr>
      <w:r>
        <w:t xml:space="preserve">V. Outcomes and Impact</w:t>
      </w:r>
    </w:p>
    <w:p>
      <w:pPr>
        <w:pStyle w:val="FirstParagraph"/>
      </w:pPr>
      <w:r>
        <w:t xml:space="preserve">The project was completed two weeks ahead of schedule and under budget by 4%. This success is attributed directly to the adaptability and strategic planning of the</w:t>
      </w:r>
      <w:r>
        <w:t xml:space="preserve"> </w:t>
      </w:r>
      <w:r>
        <w:t xml:space="preserve">Project Manager</w:t>
      </w:r>
      <w:r>
        <w:t xml:space="preserve">. The building achieved its LEED Gold certification, a testament to the rigorous sustainability protocols enforced throughout the build.</w:t>
      </w:r>
    </w:p>
    <w:p>
      <w:pPr>
        <w:pStyle w:val="BodyText"/>
      </w:pPr>
      <w:r>
        <w:t xml:space="preserve">The financial impact was significant. By securing pre-leases with major tech firms prior to completion, the developer realized a 15% higher rental yield than projected for comparable spaces in</w:t>
      </w:r>
      <w:r>
        <w:t xml:space="preserve"> </w:t>
      </w:r>
      <w:r>
        <w:rPr>
          <w:bCs/>
          <w:b/>
        </w:rPr>
        <w:t xml:space="preserve">United States New York City</w:t>
      </w:r>
      <w:r>
        <w:t xml:space="preserve">. Furthermore, the project set a new benchmark for efficiency in historic renovations within Manhattan, serving as a reference point for future developments.</w:t>
      </w:r>
    </w:p>
    <w:bookmarkEnd w:id="27"/>
    <w:bookmarkStart w:id="28" w:name="vi.-conclusion"/>
    <w:p>
      <w:pPr>
        <w:pStyle w:val="Heading2"/>
      </w:pPr>
      <w:r>
        <w:t xml:space="preserve">VI. Conclusion</w:t>
      </w:r>
    </w:p>
    <w:p>
      <w:pPr>
        <w:pStyle w:val="FirstParagraph"/>
      </w:pPr>
      <w:r>
        <w:t xml:space="preserve">This case study illustrates that successful project management is not merely about adhering to timelines and budgets; it is about context-aware leadership. In the complex ecosystem of</w:t>
      </w:r>
      <w:r>
        <w:t xml:space="preserve"> </w:t>
      </w:r>
      <w:r>
        <w:rPr>
          <w:bCs/>
          <w:b/>
        </w:rPr>
        <w:t xml:space="preserve">United States New York City</w:t>
      </w:r>
      <w:r>
        <w:t xml:space="preserve">, a</w:t>
      </w:r>
      <w:r>
        <w:t xml:space="preserve"> </w:t>
      </w:r>
      <w:r>
        <w:t xml:space="preserve">Project Manager</w:t>
      </w:r>
      <w:r>
        <w:t xml:space="preserve"> </w:t>
      </w:r>
      <w:r>
        <w:t xml:space="preserve">must possess deep local knowledge, regulatory expertise, and exceptional soft skills. The challenges presented by location-specific constraints—such as logistics, labor laws, and historic preservation requirements—require a leader who can pivot quickly and communicate effectively.</w:t>
      </w:r>
    </w:p>
    <w:p>
      <w:pPr>
        <w:pStyle w:val="BodyText"/>
      </w:pPr>
      <w:r>
        <w:t xml:space="preserve">The experience of this Midtown project reinforces the vital importance of the</w:t>
      </w:r>
      <w:r>
        <w:t xml:space="preserve"> </w:t>
      </w:r>
      <w:r>
        <w:t xml:space="preserve">Project Manager</w:t>
      </w:r>
      <w:r>
        <w:t xml:space="preserve"> </w:t>
      </w:r>
      <w:r>
        <w:t xml:space="preserve">in high-density urban environments. As cities continue to grow denser and regulations become more stringent, the ability to navigate these intricacies will define not just individual project success, but the broader capability of firms to thrive in</w:t>
      </w:r>
      <w:r>
        <w:t xml:space="preserve"> </w:t>
      </w:r>
      <w:r>
        <w:rPr>
          <w:bCs/>
          <w:b/>
        </w:rPr>
        <w:t xml:space="preserve">United States New York City</w:t>
      </w:r>
      <w:r>
        <w:t xml:space="preserve">. The lessons learned here—regarding proactive stakeholder engagement, localized supply chain optimization, and crisis resilience—are universally applicable but uniquely critical in the heart of New York.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United States New York City</dc:title>
  <dc:creator/>
  <dc:language>en</dc:language>
  <cp:keywords/>
  <dcterms:created xsi:type="dcterms:W3CDTF">2026-07-29T15:46:41Z</dcterms:created>
  <dcterms:modified xsi:type="dcterms:W3CDTF">2026-07-29T15:46:41Z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