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b78ffd1029a0a976a6df56d3cf35baf3ec68bfb"/>
    <w:p>
      <w:pPr>
        <w:pStyle w:val="Heading1"/>
      </w:pPr>
      <w:r>
        <w:t xml:space="preserve">Case Study: The Evolution and Impact of Specialist Psychiatric Services in New Zealand Auckland</w:t>
      </w:r>
    </w:p>
    <w:p>
      <w:pPr>
        <w:pStyle w:val="FirstParagraph"/>
      </w:pPr>
      <w:r>
        <w:rPr>
          <w:bCs/>
          <w:b/>
        </w:rPr>
        <w:t xml:space="preserve">Date:</w:t>
      </w:r>
      <w:r>
        <w:t xml:space="preserve"> </w:t>
      </w:r>
      <w:r>
        <w:t xml:space="preserve">October 20, 2023</w:t>
      </w:r>
      <w:r>
        <w:br/>
      </w:r>
      <w:r>
        <w:rPr>
          <w:bCs/>
          <w:b/>
        </w:rPr>
        <w:t xml:space="preserve">Title:</w:t>
      </w:r>
      <w:r>
        <w:t xml:space="preserve">A Comprehensive Analysis of Modern Psychiatric Practice in an Urban Pacific Context</w:t>
      </w:r>
      <w:r>
        <w:br/>
      </w:r>
      <w:r>
        <w:rPr>
          <w:bCs/>
          <w:b/>
        </w:rPr>
        <w:t xml:space="preserve">Subject Focus:</w:t>
      </w:r>
      <w:r>
        <w:t xml:space="preserve">The intersection of clinical psychiatry, cultural competency, and urban healthcare dynamics in New Zealand Auckland.</w:t>
      </w:r>
    </w:p>
    <w:p>
      <w:pPr>
        <w:pStyle w:val="BodyText"/>
      </w:pPr>
      <w:r>
        <w:t xml:space="preserve">Executive Summary: This case study examines the operational framework, challenges, and successes of a representative psychiatric unit located in New Zealand Auckland. It explores how modern psychiatry is adapting to the unique demographic shifts of the region while maintaining rigorous clinical standards within the public health system.</w:t>
      </w:r>
    </w:p>
    <w:bookmarkStart w:id="20" w:name="introduction-and-contextual-background"/>
    <w:p>
      <w:pPr>
        <w:pStyle w:val="Heading2"/>
      </w:pPr>
      <w:r>
        <w:t xml:space="preserve">1. Introduction and Contextual Background</w:t>
      </w:r>
    </w:p>
    <w:p>
      <w:pPr>
        <w:pStyle w:val="FirstParagraph"/>
      </w:pPr>
      <w:r>
        <w:t xml:space="preserve">The landscape of mental healthcare in New Zealand has undergone significant transformation over the last two decades. Nowhere is this more evident than in</w:t>
      </w:r>
      <w:r>
        <w:t xml:space="preserve"> </w:t>
      </w:r>
      <w:r>
        <w:rPr>
          <w:bCs/>
          <w:b/>
        </w:rPr>
        <w:t xml:space="preserve">New Zealand Auckland</w:t>
      </w:r>
      <w:r>
        <w:t xml:space="preserve">, which stands as the country’s largest metropolitan center and a hub for diverse population growth. As the primary economic engine of Aotearoa, Auckland presents a unique paradox: high socioeconomic potential juxtaposed with complex social determinants of health that drive psychiatric need.</w:t>
      </w:r>
    </w:p>
    <w:p>
      <w:pPr>
        <w:pStyle w:val="BodyText"/>
      </w:pPr>
      <w:r>
        <w:t xml:space="preserve">This case study focuses on "Harbour View Psychiatric Centre," a composite representation of adult acute and community-based psychiatric services in the region. The primary objective is to analyze how a dedicated</w:t>
      </w:r>
      <w:r>
        <w:t xml:space="preserve"> </w:t>
      </w:r>
      <w:r>
        <w:rPr>
          <w:bCs/>
          <w:b/>
        </w:rPr>
        <w:t xml:space="preserve">Psychiatrist</w:t>
      </w:r>
      <w:r>
        <w:t xml:space="preserve">-led team navigates the complexities of urban mental health delivery. The study highlights the critical need for culturally responsive care, particularly given Auckland’s status as one of the world’s most diverse cities, with significant Māori and Pasifika populations alongside growing Asian and European migrant communities.</w:t>
      </w:r>
    </w:p>
    <w:bookmarkEnd w:id="20"/>
    <w:bookmarkStart w:id="22" w:name="X11936fbe8da79ee9184b1b702a23c0897091ff3"/>
    <w:p>
      <w:pPr>
        <w:pStyle w:val="Heading2"/>
      </w:pPr>
      <w:r>
        <w:t xml:space="preserve">2. Clinical Profile: The Role of the Psychiatrist</w:t>
      </w:r>
    </w:p>
    <w:p>
      <w:pPr>
        <w:pStyle w:val="FirstParagraph"/>
      </w:pPr>
      <w:r>
        <w:t xml:space="preserve">In the context of this case study, the role of the</w:t>
      </w:r>
      <w:r>
        <w:t xml:space="preserve"> </w:t>
      </w:r>
      <w:r>
        <w:rPr>
          <w:bCs/>
          <w:b/>
        </w:rPr>
        <w:t xml:space="preserve">Psychiatrist</w:t>
      </w:r>
      <w:r>
        <w:t xml:space="preserve"> </w:t>
      </w:r>
      <w:r>
        <w:t xml:space="preserve">extends beyond traditional medical diagnosis. In New Zealand Auckland, psychiatric services are increasingly integrated into multidisciplinary teams that include psychologists, social workers, occupational therapists, and mental health nurses. However, the psychiatrist remains central to diagnostic accuracy and pharmacological management.</w:t>
      </w:r>
    </w:p>
    <w:bookmarkStart w:id="21" w:name="the-diagnostic-challenge"/>
    <w:p>
      <w:pPr>
        <w:pStyle w:val="Heading3"/>
      </w:pPr>
      <w:r>
        <w:t xml:space="preserve">The Diagnostic Challenge</w:t>
      </w:r>
    </w:p>
    <w:p>
      <w:pPr>
        <w:pStyle w:val="FirstParagraph"/>
      </w:pPr>
      <w:r>
        <w:t xml:space="preserve">The case study follows a representative cohort of 50 patients admitted during a six-month period. The most prevalent diagnoses included Major Depressive Disorder (40%), Bipolar Affective Disorder (25%), and Psychotic Disorders, primarily Schizophrenia spectrum disorders (20%). The remaining 15% presented with complex comorbidities involving substance use disorders.</w:t>
      </w:r>
    </w:p>
    <w:p>
      <w:pPr>
        <w:pStyle w:val="BodyText"/>
      </w:pPr>
      <w:r>
        <w:t xml:space="preserve">A key finding in the analysis of psychiatric practice in this region is the "diagnostic overshadowing" phenomenon. Patients from minority ethnic backgrounds were initially misdiagnosed due to cultural misunderstandings regarding the expression of distress. For instance, somatic symptoms common in Pacific Islander presentations were sometimes overlooked for purely psychological explanations. This highlighted the urgent need for specialized training in transcultural psychiatry.</w:t>
      </w:r>
    </w:p>
    <w:bookmarkEnd w:id="21"/>
    <w:bookmarkEnd w:id="22"/>
    <w:bookmarkStart w:id="23" w:name="X4611a83021b6ea9f7ad9f1d68db9b3900abb2ad"/>
    <w:p>
      <w:pPr>
        <w:pStyle w:val="Heading2"/>
      </w:pPr>
      <w:r>
        <w:t xml:space="preserve">3. Cultural Competency and Te Tiriti o Waitangi</w:t>
      </w:r>
    </w:p>
    <w:p>
      <w:pPr>
        <w:pStyle w:val="FirstParagraph"/>
      </w:pPr>
      <w:r>
        <w:t xml:space="preserve">No discussion of mental health in</w:t>
      </w:r>
      <w:r>
        <w:t xml:space="preserve"> </w:t>
      </w:r>
      <w:r>
        <w:rPr>
          <w:bCs/>
          <w:b/>
        </w:rPr>
        <w:t xml:space="preserve">New Zealand Auckland</w:t>
      </w:r>
      <w:r>
        <w:t xml:space="preserve"> </w:t>
      </w:r>
      <w:r>
        <w:t xml:space="preserve">is complete without addressing the principles of Te Tiriti o Waitangi (The Treaty of Waitangi). The case study emphasizes that effective psychiatric care must be grounded in biculturalism. This does not merely mean offering translation services, but rather integrating Māori concepts of wellbeing, such as</w:t>
      </w:r>
      <w:r>
        <w:t xml:space="preserve"> </w:t>
      </w:r>
      <w:r>
        <w:rPr>
          <w:iCs/>
          <w:i/>
        </w:rPr>
        <w:t xml:space="preserve">Te Whare Tapa Whā</w:t>
      </w:r>
      <w:r>
        <w:t xml:space="preserve">, into clinical formulations.</w:t>
      </w:r>
    </w:p>
    <w:p>
      <w:pPr>
        <w:pStyle w:val="BodyText"/>
      </w:pPr>
      <w:r>
        <w:t xml:space="preserve">The "Harbour View" model implemented a mandatory cultural safety protocol for all staff. This involved:</w:t>
      </w:r>
    </w:p>
    <w:p>
      <w:pPr>
        <w:numPr>
          <w:ilvl w:val="0"/>
          <w:numId w:val="1001"/>
        </w:numPr>
        <w:pStyle w:val="Compact"/>
      </w:pPr>
      <w:r>
        <w:rPr>
          <w:bCs/>
          <w:b/>
        </w:rPr>
        <w:t xml:space="preserve">Kaiāwhina (Mental Health Assistants):</w:t>
      </w:r>
      <w:r>
        <w:t xml:space="preserve"> </w:t>
      </w:r>
      <w:r>
        <w:t xml:space="preserve">Employing trained Māori and Pasifika mental health workers to bridge the gap between clinical teams and patients.</w:t>
      </w:r>
    </w:p>
    <w:p>
      <w:pPr>
        <w:numPr>
          <w:ilvl w:val="0"/>
          <w:numId w:val="1001"/>
        </w:numPr>
        <w:pStyle w:val="Compact"/>
      </w:pPr>
      <w:r>
        <w:rPr>
          <w:bCs/>
          <w:b/>
        </w:rPr>
        <w:t xml:space="preserve">Clinical Supervision:</w:t>
      </w:r>
      <w:r>
        <w:t xml:space="preserve"> </w:t>
      </w:r>
      <w:r>
        <w:t xml:space="preserve">Regular case reviews where cultural factors are explicitly discussed alongside biological markers.</w:t>
      </w:r>
    </w:p>
    <w:p>
      <w:pPr>
        <w:numPr>
          <w:ilvl w:val="0"/>
          <w:numId w:val="1001"/>
        </w:numPr>
        <w:pStyle w:val="Compact"/>
      </w:pPr>
      <w:r>
        <w:rPr>
          <w:bCs/>
          <w:b/>
        </w:rPr>
        <w:t xml:space="preserve">Family Involvement:</w:t>
      </w:r>
      <w:r>
        <w:t xml:space="preserve"> </w:t>
      </w:r>
      <w:r>
        <w:t xml:space="preserve">Recognizing that in many cultures represented in Auckland, mental illness is viewed through a collective family lens rather than an individualistic one.</w:t>
      </w:r>
    </w:p>
    <w:p>
      <w:pPr>
        <w:pStyle w:val="FirstParagraph"/>
      </w:pPr>
      <w:r>
        <w:t xml:space="preserve">The data from the case study indicates a 30% reduction in involuntary detention orders when these cultural support mechanisms were actively utilized. This underscores the efficacy of integrating cultural competency into standard psychiatric protocols.</w:t>
      </w:r>
    </w:p>
    <w:bookmarkEnd w:id="23"/>
    <w:bookmarkStart w:id="27" w:name="Xfaf46aef376ac595821b4085285ea584054557f"/>
    <w:p>
      <w:pPr>
        <w:pStyle w:val="Heading2"/>
      </w:pPr>
      <w:r>
        <w:t xml:space="preserve">4. Operational Challenges in an Urban Setting</w:t>
      </w:r>
    </w:p>
    <w:p>
      <w:pPr>
        <w:pStyle w:val="FirstParagraph"/>
      </w:pPr>
      <w:r>
        <w:t xml:space="preserve">New Zealand Auckland faces specific logistical and resource challenges that impact psychiatric service delivery. The case study identifies three primary pressure points:</w:t>
      </w:r>
    </w:p>
    <w:bookmarkStart w:id="24" w:name="a.-workforce-shortages"/>
    <w:p>
      <w:pPr>
        <w:pStyle w:val="Heading3"/>
      </w:pPr>
      <w:r>
        <w:t xml:space="preserve">A. Workforce Shortages</w:t>
      </w:r>
    </w:p>
    <w:p>
      <w:pPr>
        <w:pStyle w:val="FirstParagraph"/>
      </w:pPr>
      <w:r>
        <w:rPr>
          <w:bCs/>
          <w:b/>
        </w:rPr>
        <w:t xml:space="preserve">The Psychiatrist</w:t>
      </w:r>
      <w:r>
        <w:t xml:space="preserve">-led workforce in the region is stretched thin. With high patient-to-doctor ratios, administrative burdens often encroach on clinical time. The study notes that burnout among senior psychiatrists is a significant risk factor for service continuity.</w:t>
      </w:r>
    </w:p>
    <w:bookmarkEnd w:id="24"/>
    <w:bookmarkStart w:id="25" w:name="b.-access-to-community-support"/>
    <w:p>
      <w:pPr>
        <w:pStyle w:val="Heading3"/>
      </w:pPr>
      <w:r>
        <w:t xml:space="preserve">B. Access to Community Support</w:t>
      </w:r>
    </w:p>
    <w:p>
      <w:pPr>
        <w:pStyle w:val="FirstParagraph"/>
      </w:pPr>
      <w:r>
        <w:t xml:space="preserve">A common barrier identified in the case study is the "cliff-edge" effect, where patients are stabilized in acute hospital settings but struggle to access immediate community support upon discharge. In New Zealand Auckland, wait times for community mental health teams can range from several weeks to months. This gap increases the risk of readmission.</w:t>
      </w:r>
    </w:p>
    <w:bookmarkEnd w:id="25"/>
    <w:bookmarkStart w:id="26" w:name="c.-co-morbid-substance-use"/>
    <w:p>
      <w:pPr>
        <w:pStyle w:val="Heading3"/>
      </w:pPr>
      <w:r>
        <w:t xml:space="preserve">C. Co-morbid Substance Use</w:t>
      </w:r>
    </w:p>
    <w:p>
      <w:pPr>
        <w:pStyle w:val="FirstParagraph"/>
      </w:pPr>
      <w:r>
        <w:t xml:space="preserve">Auckland’s vibrant nightlife and diverse drug landscape present unique challenges. Approximately 20% of psychiatric admissions involved concurrent alcohol or illicit drug use. Integrated treatment models that address both mental health and substance abuse simultaneously were found to be significantly more effective than sequential treatment models.</w:t>
      </w:r>
    </w:p>
    <w:bookmarkEnd w:id="26"/>
    <w:bookmarkEnd w:id="27"/>
    <w:bookmarkStart w:id="28" w:name="case-example-patient-x"/>
    <w:p>
      <w:pPr>
        <w:pStyle w:val="Heading2"/>
      </w:pPr>
      <w:r>
        <w:t xml:space="preserve">5. Case Example: "Patient X"</w:t>
      </w:r>
    </w:p>
    <w:p>
      <w:pPr>
        <w:pStyle w:val="FirstParagraph"/>
      </w:pPr>
      <w:r>
        <w:t xml:space="preserve">To illustrate the practical application of these concepts, the case study reviews anonymized data from "Patient X," a 34-year-old male of Samoan heritage.</w:t>
      </w:r>
    </w:p>
    <w:p>
      <w:pPr>
        <w:numPr>
          <w:ilvl w:val="0"/>
          <w:numId w:val="1002"/>
        </w:numPr>
        <w:pStyle w:val="Compact"/>
      </w:pPr>
      <w:r>
        <w:rPr>
          <w:bCs/>
          <w:b/>
        </w:rPr>
        <w:t xml:space="preserve">Presentation:</w:t>
      </w:r>
      <w:r>
        <w:t xml:space="preserve"> </w:t>
      </w:r>
      <w:r>
        <w:t xml:space="preserve">Patient X presented with acute psychosis, exhibiting auditory hallucinations and paranoid delusions. He had a history of non-adherence to medication due to side effects and cultural stigma regarding mental illness.</w:t>
      </w:r>
    </w:p>
    <w:p>
      <w:pPr>
        <w:numPr>
          <w:ilvl w:val="0"/>
          <w:numId w:val="1002"/>
        </w:numPr>
        <w:pStyle w:val="Compact"/>
      </w:pPr>
      <w:r>
        <w:rPr>
          <w:bCs/>
          <w:b/>
        </w:rPr>
        <w:t xml:space="preserve">Initial Assessment:</w:t>
      </w:r>
      <w:r>
        <w:t xml:space="preserve"> </w:t>
      </w:r>
      <w:r>
        <w:t xml:space="preserve">The admitting psychiatrist noted significant agitation but initially struggled to establish rapport. Standard antipsychotic trials resulted in metabolic side effects that further discouraged adherence.</w:t>
      </w:r>
    </w:p>
    <w:p>
      <w:pPr>
        <w:numPr>
          <w:ilvl w:val="0"/>
          <w:numId w:val="1002"/>
        </w:numPr>
        <w:pStyle w:val="Compact"/>
      </w:pPr>
      <w:r>
        <w:rPr>
          <w:bCs/>
          <w:b/>
        </w:rPr>
        <w:t xml:space="preserve">Cultural Intervention:</w:t>
      </w:r>
      <w:r>
        <w:t xml:space="preserve"> </w:t>
      </w:r>
      <w:r>
        <w:t xml:space="preserve">A Kaiāwhina was introduced to facilitate communication with the patient and his family. The family expressed concerns about "spiritual imbalance" alongside medical symptoms.</w:t>
      </w:r>
    </w:p>
    <w:p>
      <w:pPr>
        <w:numPr>
          <w:ilvl w:val="0"/>
          <w:numId w:val="1002"/>
        </w:numPr>
        <w:pStyle w:val="Compact"/>
      </w:pPr>
      <w:r>
        <w:rPr>
          <w:bCs/>
          <w:b/>
        </w:rPr>
        <w:t xml:space="preserve">Treatment Plan:</w:t>
      </w:r>
      <w:r>
        <w:t xml:space="preserve"> </w:t>
      </w:r>
      <w:r>
        <w:t xml:space="preserve">The psychiatrist adjusted the medication to a long-acting injectable formulation (addressing adherence) while collaborating with a local church leader and kaumātua (elder) to support the patient’s spiritual needs. Regular whānau (family) hui (meetings) were incorporated into the discharge planning.</w:t>
      </w:r>
    </w:p>
    <w:p>
      <w:pPr>
        <w:numPr>
          <w:ilvl w:val="0"/>
          <w:numId w:val="1002"/>
        </w:numPr>
        <w:pStyle w:val="Compact"/>
      </w:pPr>
      <w:r>
        <w:rPr>
          <w:bCs/>
          <w:b/>
        </w:rPr>
        <w:t xml:space="preserve">Outcome:</w:t>
      </w:r>
      <w:r>
        <w:t xml:space="preserve"> </w:t>
      </w:r>
      <w:r>
        <w:t xml:space="preserve">Over a 12-month follow-up, Patient X remained stable in the community, employed part-time, and reported high satisfaction with care that respected his cultural identity.</w:t>
      </w:r>
    </w:p>
    <w:bookmarkEnd w:id="28"/>
    <w:bookmarkStart w:id="29" w:name="recommendations-and-future-directions"/>
    <w:p>
      <w:pPr>
        <w:pStyle w:val="Heading2"/>
      </w:pPr>
      <w:r>
        <w:t xml:space="preserve">6. Recommendations and Future Directions</w:t>
      </w:r>
    </w:p>
    <w:p>
      <w:pPr>
        <w:pStyle w:val="FirstParagraph"/>
      </w:pPr>
      <w:r>
        <w:t xml:space="preserve">Based on the findings of this case study regarding psychiatric services in New Zealand Auckland, several recommendations are proposed for healthcare policymakers and providers:</w:t>
      </w:r>
    </w:p>
    <w:p>
      <w:pPr>
        <w:pStyle w:val="FirstParagraph"/>
      </w:pPr>
      <w:r>
        <w:rPr>
          <w:bCs/>
          <w:b/>
        </w:rPr>
        <w:t xml:space="preserve">Digital Health Integration:</w:t>
      </w:r>
      <w:r>
        <w:t xml:space="preserve"> </w:t>
      </w:r>
      <w:r>
        <w:t xml:space="preserve">Expand telepsychiatry services to reduce waiting lists and improve access for patients in remote parts of the Auckland region.</w:t>
      </w:r>
    </w:p>
    <w:p>
      <w:pPr>
        <w:pStyle w:val="BodyText"/>
      </w:pPr>
      <w:r>
        <w:t xml:space="preserve">Early Intervention Programs:</w:t>
      </w:r>
    </w:p>
    <w:p>
      <w:pPr>
        <w:pStyle w:val="BodyText"/>
      </w:pPr>
      <w:r>
        <w:t xml:space="preserve">In conclusion, the role of a</w:t>
      </w:r>
      <w:r>
        <w:t xml:space="preserve"> </w:t>
      </w:r>
      <w:r>
        <w:rPr>
          <w:bCs/>
          <w:b/>
        </w:rPr>
        <w:t xml:space="preserve">Psychiatrist</w:t>
      </w:r>
      <w:r>
        <w:t xml:space="preserve"> </w:t>
      </w:r>
      <w:r>
        <w:t xml:space="preserve">in modern healthcare is evolving from a purely biological model to a holistic, biopsychosocial-spiritual model. In</w:t>
      </w:r>
      <w:r>
        <w:t xml:space="preserve"> </w:t>
      </w:r>
      <w:r>
        <w:rPr>
          <w:bCs/>
          <w:b/>
        </w:rPr>
        <w:t xml:space="preserve">New Zealand Auckland</w:t>
      </w:r>
      <w:r>
        <w:t xml:space="preserve">, this evolution is driven by demographic diversity and treaty obligations. Success depends on the ability of psychiatric teams to adapt their clinical practices to be culturally safe, accessible, and comprehensively supported by community resources.</w:t>
      </w:r>
    </w:p>
    <w:bookmarkEnd w:id="29"/>
    <w:bookmarkStart w:id="30" w:name="conclusion"/>
    <w:p>
      <w:pPr>
        <w:pStyle w:val="Heading2"/>
      </w:pPr>
      <w:r>
        <w:t xml:space="preserve">7. Conclusion</w:t>
      </w:r>
    </w:p>
    <w:p>
      <w:pPr>
        <w:pStyle w:val="FirstParagraph"/>
      </w:pPr>
      <w:r>
        <w:t xml:space="preserve">This case study demonstrates that effective psychiatric care in urban centers like New Zealand Auckland requires more than medical expertise; it demands cultural humility, systemic integration, and a commitment to equitable access. By focusing on the specific needs of diverse populations and addressing structural barriers such as workforce shortages and community support gaps, the psychiatric services in this region can continue to improve outcomes for individuals living with severe mental illness. The path forward lies in sustained investment in both human capital (training more</w:t>
      </w:r>
      <w:r>
        <w:t xml:space="preserve"> </w:t>
      </w:r>
      <w:r>
        <w:rPr>
          <w:bCs/>
          <w:b/>
        </w:rPr>
        <w:t xml:space="preserve">Psychiatrist</w:t>
      </w:r>
      <w:r>
        <w:t xml:space="preserve">s and allied health workers) and cultural infrastructure, ensuring that New Zealand Auckland remains a leader in compassionate and competent mental healthcare.</w:t>
      </w:r>
    </w:p>
    <w:p>
      <w:r>
        <w:pict>
          <v:rect style="width:0;height:1.5pt" o:hralign="center" o:hrstd="t" o:hr="t"/>
        </w:pict>
      </w:r>
    </w:p>
    <w:p>
      <w:pPr>
        <w:pStyle w:val="FirstParagraph"/>
      </w:pPr>
      <w:r>
        <w:rPr>
          <w:iCs/>
          <w:i/>
        </w:rPr>
        <w:t xml:space="preserve">Note: This document is for educational purposes only. Individual medical decisions should always be made in consultation with qualified healthcare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New Zealand Auckland</dc:title>
  <dc:creator/>
  <dc:language>en</dc:language>
  <cp:keywords/>
  <dcterms:created xsi:type="dcterms:W3CDTF">2026-07-30T12:31:00Z</dcterms:created>
  <dcterms:modified xsi:type="dcterms:W3CDTF">2026-07-30T12:31:00Z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