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Specialized</w:t>
      </w:r>
      <w:r>
        <w:t xml:space="preserve"> </w:t>
      </w:r>
      <w:r>
        <w:t xml:space="preserve">Psychiatry</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13056644f3cdf131d6841de8dce1b0a13b80eb8"/>
    <w:p>
      <w:pPr>
        <w:pStyle w:val="Heading1"/>
      </w:pPr>
      <w:r>
        <w:t xml:space="preserve">A Strategic Case Study on the Implementation of a Private Psychiatry Practice in United Kingdom London</w:t>
      </w:r>
    </w:p>
    <w:p>
      <w:pPr>
        <w:pStyle w:val="FirstParagraph"/>
      </w:pPr>
      <w:r>
        <w:rPr>
          <w:bCs/>
          <w:b/>
        </w:rPr>
        <w:t xml:space="preserve">Date:</w:t>
      </w:r>
      <w:r>
        <w:t xml:space="preserve"> </w:t>
      </w:r>
      <w:r>
        <w:t xml:space="preserve">October 2023</w:t>
      </w:r>
      <w:r>
        <w:br/>
      </w:r>
      <w:r>
        <w:rPr>
          <w:bCs/>
          <w:b/>
        </w:rPr>
        <w:t xml:space="preserve">Jurisdiction:</w:t>
      </w:r>
      <w:hyperlink w:anchor="Xa39a3ee5e6b4b0d3255bfef95601890afd80709">
        <w:r>
          <w:rPr>
            <w:rStyle w:val="Hyperlink"/>
          </w:rPr>
          <w:t xml:space="preserve">United Kingdom London</w:t>
        </w:r>
      </w:hyperlink>
    </w:p>
    <w:bookmarkStart w:id="20" w:name="executive-summary"/>
    <w:p>
      <w:pPr>
        <w:pStyle w:val="Heading2"/>
      </w:pPr>
      <w:r>
        <w:t xml:space="preserve">Executive Summary</w:t>
      </w:r>
    </w:p>
    <w:p>
      <w:pPr>
        <w:pStyle w:val="FirstParagraph"/>
      </w:pPr>
      <w:r>
        <w:t xml:space="preserve">This</w:t>
      </w:r>
      <w:r>
        <w:t xml:space="preserve"> </w:t>
      </w:r>
      <w:hyperlink w:anchor="Xa39a3ee5e6b4b0d3255bfef95601890afd80709">
        <w:r>
          <w:rPr>
            <w:rStyle w:val="Hyperlink"/>
          </w:rPr>
          <w:t xml:space="preserve">Case Study</w:t>
        </w:r>
      </w:hyperlink>
    </w:p>
    <w:p>
      <w:pPr>
        <w:pStyle w:val="BodyText"/>
      </w:pPr>
      <w:r>
        <w:t xml:space="preserve">. This document analyzes the operational, clinical, and regulatory landscape required to establish a high-quality</w:t>
      </w:r>
    </w:p>
    <w:p>
      <w:pPr>
        <w:pStyle w:val="BodyText"/>
      </w:pPr>
      <w:r>
        <w:t xml:space="preserve">a leading global financial hub with a highly diverse population. The intersection of high-stress professional cultures and complex socio-economic factors creates a significant demand for specialized mental health services. For any</w:t>
      </w:r>
      <w:r>
        <w:t xml:space="preserve"> </w:t>
      </w:r>
      <w:hyperlink w:anchor="Xa39a3ee5e6b4b0d3255bfef95601890afd80709">
        <w:r>
          <w:rPr>
            <w:rStyle w:val="Hyperlink"/>
          </w:rPr>
          <w:t xml:space="preserve">Psychiatrist</w:t>
        </w:r>
      </w:hyperlink>
      <w:r>
        <w:t xml:space="preserve"> </w:t>
      </w:r>
      <w:r>
        <w:t xml:space="preserve">intending to operate in this jurisdiction, understanding the local regulatory framework, particularly that of the General Medical Council (GMC) and Care Quality Commission (CQC), is paramount.</w:t>
      </w:r>
    </w:p>
    <w:bookmarkEnd w:id="20"/>
    <w:bookmarkStart w:id="21" w:name="X8d6d28c6b6fecf484f529514fda4c99264fb1c0"/>
    <w:p>
      <w:pPr>
        <w:pStyle w:val="Heading2"/>
      </w:pPr>
      <w:r>
        <w:t xml:space="preserve">1.0 Market Context: The United Kingdom London Landscape</w:t>
      </w:r>
    </w:p>
    <w:p>
      <w:pPr>
        <w:pStyle w:val="FirstParagraph"/>
      </w:pPr>
      <w:r>
        <w:t xml:space="preserve">London serves as a unique microcosm of global mental health challenges. As one of the most culturally diverse cities in the world,</w:t>
      </w:r>
      <w:r>
        <w:t xml:space="preserve"> </w:t>
      </w:r>
      <w:hyperlink w:anchor="Xa39a3ee5e6b4b0d3255bfef95601890afd80709">
        <w:r>
          <w:rPr>
            <w:rStyle w:val="Hyperlink"/>
          </w:rPr>
          <w:t xml:space="preserve">United Kingdom London</w:t>
        </w:r>
      </w:hyperlink>
    </w:p>
    <w:p>
      <w:pPr>
        <w:pStyle w:val="BodyText"/>
      </w:pPr>
      <w:r>
        <w:t xml:space="preserve">. However, this diversity also presents challenges regarding language barriers and cultural nuances in therapy. Furthermore, the cost of living crisis and competitive work environment in Central London contribute to higher rates of anxiety and burnout among young professionals. Consequently, there is a robust market for psychiatrists who can offer evidence-based pharmacological interventions combined with psychotherapeutic support.</w:t>
      </w:r>
    </w:p>
    <w:bookmarkEnd w:id="21"/>
    <w:bookmarkStart w:id="22" w:name="regulatory-framework-and-compliance"/>
    <w:p>
      <w:pPr>
        <w:pStyle w:val="Heading2"/>
      </w:pPr>
      <w:r>
        <w:t xml:space="preserve">2.0 Regulatory Framework and Compliance</w:t>
      </w:r>
    </w:p>
    <w:p>
      <w:pPr>
        <w:pStyle w:val="FirstParagraph"/>
      </w:pPr>
      <w:hyperlink w:anchor="Xa39a3ee5e6b4b0d3255bfef95601890afd80709">
        <w:r>
          <w:rPr>
            <w:rStyle w:val="Hyperlink"/>
            <w:bCs/>
            <w:b/>
          </w:rPr>
          <w:t xml:space="preserve">Psychiatrist</w:t>
        </w:r>
      </w:hyperlink>
      <w:r>
        <w:t xml:space="preserve">. Any medical practitioner wishing to practice independently or within a clinic must hold a valid license from the General Medical Council. Additionally, if the facility provides health care services, it must be registered with the Care Quality Commission (CQC). The CQC evaluates providers based on five key questions: Are they safe, effective, caring, responsive, and well-led?</w:t>
      </w:r>
    </w:p>
    <w:p>
      <w:pPr>
        <w:pStyle w:val="BodyText"/>
      </w:pPr>
      <w:r>
        <w:t xml:space="preserve">In this</w:t>
      </w:r>
      <w:r>
        <w:t xml:space="preserve"> </w:t>
      </w:r>
      <w:hyperlink w:anchor="Xa39a3ee5e6b4b0d3255bfef95601890afd80709">
        <w:r>
          <w:rPr>
            <w:rStyle w:val="Hyperlink"/>
          </w:rPr>
          <w:t xml:space="preserve">Case Study</w:t>
        </w:r>
      </w:hyperlink>
      <w:r>
        <w:t xml:space="preserve">, we highlight that compliance is not merely a bureaucratic hurdle but a core component of patient trust. For instance,</w:t>
      </w:r>
      <w:r>
        <w:rPr>
          <w:iCs/>
          <w:i/>
          <w:bCs/>
          <w:b/>
        </w:rPr>
        <w:t xml:space="preserve">a Psychiatrist</w:t>
      </w:r>
    </w:p>
    <w:p>
      <w:pPr>
        <w:pStyle w:val="BodyText"/>
      </w:pPr>
      <w:r>
        <w:t xml:space="preserve">a Psychiatrist must ensure rigorous safeguarding protocols are in place, particularly when dealing with vulnerable populations, including children and the elderly, who constitute significant portions of</w:t>
      </w:r>
      <w:r>
        <w:t xml:space="preserve"> </w:t>
      </w:r>
      <w:hyperlink w:anchor="Xa39a3ee5e6b4b0d3255bfef95601890afd80709">
        <w:r>
          <w:rPr>
            <w:rStyle w:val="Hyperlink"/>
          </w:rPr>
          <w:t xml:space="preserve">United Kingdom London</w:t>
        </w:r>
      </w:hyperlink>
      <w:r>
        <w:t xml:space="preserve">’s demographic.</w:t>
      </w:r>
    </w:p>
    <w:bookmarkEnd w:id="22"/>
    <w:bookmarkStart w:id="23" w:name="operational-challenges-and-solutions"/>
    <w:p>
      <w:pPr>
        <w:pStyle w:val="Heading2"/>
      </w:pPr>
      <w:r>
        <w:t xml:space="preserve">3.0 Operational Challenges and Solutions</w:t>
      </w:r>
    </w:p>
    <w:p>
      <w:pPr>
        <w:pStyle w:val="FirstParagraph"/>
      </w:pPr>
      <w:r>
        <w:t xml:space="preserve">The operational setup of a psychiatric practice in</w:t>
      </w:r>
    </w:p>
    <w:p>
      <w:pPr>
        <w:pStyle w:val="BodyText"/>
      </w:pPr>
      <w:r>
        <w:t xml:space="preserve">United Kingdom London. High commercial rents in areas such as Mayfair, Kensington, or Central Camden can strain initial capital. To mitigate this, the case study suggests co-location strategies with established private hospitals or wellness centers that already possess CQC registration.</w:t>
      </w:r>
    </w:p>
    <w:p>
      <w:pPr>
        <w:pStyle w:val="BodyText"/>
      </w:pPr>
      <w:r>
        <w:rPr>
          <w:bCs/>
          <w:b/>
        </w:rPr>
        <w:t xml:space="preserve">Tech Integration:</w:t>
      </w:r>
      <w:r>
        <w:t xml:space="preserve"> </w:t>
      </w:r>
      <w:r>
        <w:t xml:space="preserve">A key finding of this</w:t>
      </w:r>
      <w:r>
        <w:t xml:space="preserve"> </w:t>
      </w:r>
      <w:hyperlink w:anchor="Xa39a3ee5e6b4b0d3255bfef95601890afd80709">
        <w:r>
          <w:rPr>
            <w:rStyle w:val="Hyperlink"/>
          </w:rPr>
          <w:t xml:space="preserve">Case Study</w:t>
        </w:r>
      </w:hyperlink>
      <w:r>
        <w:t xml:space="preserve">a Psychiatrist</w:t>
      </w:r>
    </w:p>
    <w:p>
      <w:pPr>
        <w:pStyle w:val="BodyText"/>
      </w:pPr>
      <w:r>
        <w:t xml:space="preserve">can utilize telehealth platforms compliant with NHS data security standards (ICO registration). This hybrid model expands the reach beyond immediate geographical limits in</w:t>
      </w:r>
      <w:r>
        <w:t xml:space="preserve"> </w:t>
      </w:r>
      <w:hyperlink w:anchor="Xa39a3ee5e6b4b0d3255bfef95601890afd80709">
        <w:r>
          <w:rPr>
            <w:rStyle w:val="Hyperlink"/>
          </w:rPr>
          <w:t xml:space="preserve">United Kingdom London</w:t>
        </w:r>
      </w:hyperlink>
      <w:r>
        <w:t xml:space="preserve">, allowing practitioners to treat patients across Greater London and even remotely within the rest of the UK.</w:t>
      </w:r>
    </w:p>
    <w:bookmarkEnd w:id="23"/>
    <w:bookmarkStart w:id="24" w:name="X8ff09f72634db7a34fe2c1a5ff82af77c3f9d90"/>
    <w:p>
      <w:pPr>
        <w:pStyle w:val="Heading2"/>
      </w:pPr>
      <w:r>
        <w:t xml:space="preserve">4.0 Patient Demographics and Service Offerings</w:t>
      </w:r>
    </w:p>
    <w:p>
      <w:pPr>
        <w:pStyle w:val="FirstParagraph"/>
      </w:pPr>
      <w:r>
        <w:t xml:space="preserve">The target demographic for a new psychiatric practice in this region is multifaceted. The services offered must be tailored to meet specific needs identified in this</w:t>
      </w:r>
      <w:r>
        <w:t xml:space="preserve"> </w:t>
      </w:r>
      <w:hyperlink w:anchor="Xa39a3ee5e6b4b0d3255bfef95601890afd80709">
        <w:r>
          <w:rPr>
            <w:rStyle w:val="Hyperlink"/>
          </w:rPr>
          <w:t xml:space="preserve">Case Study</w:t>
        </w:r>
      </w:hyperlink>
      <w:r>
        <w:t xml:space="preserve">:</w:t>
      </w:r>
    </w:p>
    <w:p>
      <w:pPr>
        <w:numPr>
          <w:ilvl w:val="0"/>
          <w:numId w:val="1001"/>
        </w:numPr>
        <w:pStyle w:val="Compact"/>
      </w:pPr>
      <w:r>
        <w:rPr>
          <w:bCs/>
          <w:b/>
        </w:rPr>
        <w:t xml:space="preserve">Corporate Executives:</w:t>
      </w:r>
      <w:r>
        <w:t xml:space="preserve">Facing high-pressure environments, requiring discreet and efficient treatment for anxiety, burnout, and stress-related disorders.</w:t>
      </w:r>
    </w:p>
    <w:p>
      <w:pPr>
        <w:numPr>
          <w:ilvl w:val="0"/>
          <w:numId w:val="1001"/>
        </w:numPr>
        <w:pStyle w:val="Compact"/>
      </w:pPr>
      <w:r>
        <w:rPr>
          <w:bCs/>
          <w:b/>
        </w:rPr>
        <w:t xml:space="preserve">Creative Professionals:</w:t>
      </w:r>
      <w:r>
        <w:t xml:space="preserve">A significant portion of London's population works in arts and media. These individuals often present with mood disorders such as bipolar disorder or severe depression. A</w:t>
      </w:r>
      <w:r>
        <w:t xml:space="preserve"> </w:t>
      </w:r>
      <w:hyperlink w:anchor="Xa39a3ee5e6b4b0d3255bfef95601890afd80709">
        <w:r>
          <w:rPr>
            <w:rStyle w:val="Hyperlink"/>
          </w:rPr>
          <w:t xml:space="preserve">Psychiatrist</w:t>
        </w:r>
      </w:hyperlink>
      <w:r>
        <w:t xml:space="preserve"> </w:t>
      </w:r>
      <w:r>
        <w:t xml:space="preserve">specializing in creative mental health can provide targeted care.</w:t>
      </w:r>
    </w:p>
    <w:p>
      <w:pPr>
        <w:numPr>
          <w:ilvl w:val="0"/>
          <w:numId w:val="1001"/>
        </w:numPr>
        <w:pStyle w:val="Compact"/>
      </w:pPr>
      <w:r>
        <w:rPr>
          <w:bCs/>
          <w:b/>
        </w:rPr>
        <w:t xml:space="preserve">Migratory Populations:</w:t>
      </w:r>
      <w:r>
        <w:t xml:space="preserve">Ptients may require culturally sensitive assessments. Understanding the nuances of trauma in refugees and asylum seekers is critical for a holistic approach in</w:t>
      </w:r>
      <w:r>
        <w:t xml:space="preserve"> </w:t>
      </w:r>
      <w:hyperlink w:anchor="Xa39a3ee5e6b4b0d3255bfef95601890afd80709">
        <w:r>
          <w:rPr>
            <w:rStyle w:val="Hyperlink"/>
          </w:rPr>
          <w:t xml:space="preserve">United Kingdom London</w:t>
        </w:r>
      </w:hyperlink>
      <w:r>
        <w:t xml:space="preserve">.</w:t>
      </w:r>
    </w:p>
    <w:bookmarkEnd w:id="24"/>
    <w:bookmarkStart w:id="25" w:name="X35c3abf8db99c47c3e4be9dbd8c42a4fea56fd0"/>
    <w:p>
      <w:pPr>
        <w:pStyle w:val="Heading2"/>
      </w:pPr>
      <w:r>
        <w:t xml:space="preserve">5.0 Financial Sustainability and Insurance Integration</w:t>
      </w:r>
    </w:p>
    <w:p>
      <w:pPr>
        <w:pStyle w:val="FirstParagraph"/>
      </w:pPr>
      <w:r>
        <w:rPr>
          <w:iCs/>
          <w:i/>
        </w:rPr>
        <w:t xml:space="preserve">a Psychiatrist</w:t>
      </w:r>
    </w:p>
    <w:p>
      <w:pPr>
        <w:pStyle w:val="BodyText"/>
      </w:pPr>
      <w:r>
        <w:t xml:space="preserve">. The case study advises establishing direct billing relationships with major insurers such as Bupa, AXA PPP, and WPA. These providers cover a significant percentage of the population in</w:t>
      </w:r>
      <w:r>
        <w:t xml:space="preserve"> </w:t>
      </w:r>
      <w:hyperlink w:anchor="Xa39a3ee5e6b4b0d3255bfef95601890afd80709">
        <w:r>
          <w:rPr>
            <w:rStyle w:val="Hyperlink"/>
          </w:rPr>
          <w:t xml:space="preserve">United Kingdom London</w:t>
        </w:r>
      </w:hyperlink>
      <w:r>
        <w:t xml:space="preserve">. Additionally, offering self-pay options is crucial for those who prefer speed and privacy without insurance administrative delays.</w:t>
      </w:r>
    </w:p>
    <w:p>
      <w:pPr>
        <w:pStyle w:val="BodyText"/>
      </w:pPr>
      <w:r>
        <w:rPr>
          <w:bCs/>
          <w:b/>
        </w:rPr>
        <w:t xml:space="preserve">Fee Structure:</w:t>
      </w:r>
      <w:r>
        <w:t xml:space="preserve">Pricing must reflect the premium nature of private healthcare in Central London while remaining competitive. A tiered pricing model, where initial assessments are priced higher than follow-up consultations, has proven effective in similar practices analyzed in this</w:t>
      </w:r>
      <w:r>
        <w:t xml:space="preserve"> </w:t>
      </w:r>
      <w:hyperlink w:anchor="Xa39a3ee5e6b4b0d3255bfef95601890afd80709">
        <w:r>
          <w:rPr>
            <w:rStyle w:val="Hyperlink"/>
          </w:rPr>
          <w:t xml:space="preserve">Case Study</w:t>
        </w:r>
      </w:hyperlink>
      <w:r>
        <w:t xml:space="preserve">.</w:t>
      </w:r>
    </w:p>
    <w:bookmarkEnd w:id="25"/>
    <w:bookmarkStart w:id="26" w:name="ethical-considerations-and-patient-care"/>
    <w:p>
      <w:pPr>
        <w:pStyle w:val="Heading2"/>
      </w:pPr>
      <w:r>
        <w:t xml:space="preserve">6.0 Ethical Considerations and Patient Care</w:t>
      </w:r>
    </w:p>
    <w:p>
      <w:pPr>
        <w:pStyle w:val="FirstParagraph"/>
      </w:pPr>
      <w:r>
        <w:t xml:space="preserve">Ethics play a pivotal role in psychiatry. In the context of</w:t>
      </w:r>
    </w:p>
    <w:p>
      <w:pPr>
        <w:pStyle w:val="BodyText"/>
      </w:pPr>
      <w:r>
        <w:t xml:space="preserve">United Kingdom London</w:t>
      </w:r>
      <w:r>
        <w:rPr>
          <w:iCs/>
          <w:i/>
        </w:rPr>
        <w:t xml:space="preserve">a Psychiatrist</w:t>
      </w:r>
    </w:p>
    <w:p>
      <w:pPr>
        <w:pStyle w:val="BodyText"/>
      </w:pPr>
      <w:r>
        <w:t xml:space="preserve">. The case study emphasizes the importance of informed consent, particularly regarding medication management and potential side effects. Furthermore, maintaining strict confidentiality is non-negotiable, especially when treating high-profile individuals who may be subject to public scrutiny.</w:t>
      </w:r>
    </w:p>
    <w:bookmarkEnd w:id="26"/>
    <w:bookmarkStart w:id="27" w:name="conclusion-and-recommendations"/>
    <w:p>
      <w:pPr>
        <w:pStyle w:val="Heading2"/>
      </w:pPr>
      <w:r>
        <w:t xml:space="preserve">7.0 Conclusion and Recommendations</w:t>
      </w:r>
    </w:p>
    <w:p>
      <w:pPr>
        <w:pStyle w:val="FirstParagraph"/>
      </w:pPr>
      <w:r>
        <w:t xml:space="preserve">This</w:t>
      </w:r>
    </w:p>
    <w:p>
      <w:pPr>
        <w:pStyle w:val="BodyText"/>
      </w:pPr>
      <w:r>
        <w:t xml:space="preserve">Case Study</w:t>
      </w:r>
      <w:r>
        <w:rPr>
          <w:iCs/>
          <w:i/>
        </w:rPr>
        <w:t xml:space="preserve">a Psychiatrist</w:t>
      </w:r>
    </w:p>
    <w:p>
      <w:pPr>
        <w:pStyle w:val="BodyText"/>
      </w:pPr>
      <w:r>
        <w:t xml:space="preserve">. Success in this market requires more than clinical expertise; it demands a deep understanding of the local regulatory environment, cultural diversity, and economic pressures specific to</w:t>
      </w:r>
    </w:p>
    <w:p>
      <w:pPr>
        <w:pStyle w:val="BodyText"/>
      </w:pPr>
      <w:r>
        <w:t xml:space="preserve">United Kingdom London. By adhering to CQC standards, leveraging technology for accessibility, and tailoring services to the unique needs of London's diverse population, a psychiatric practice can achieve both clinical excellence and financial viability.</w:t>
      </w:r>
    </w:p>
    <w:p>
      <w:pPr>
        <w:pStyle w:val="BodyText"/>
      </w:pPr>
      <w:r>
        <w:rPr>
          <w:iCs/>
          <w:i/>
        </w:rPr>
        <w:t xml:space="preserve">In summary,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Specialized Psychiatry in United Kingdom London</dc:title>
  <dc:creator/>
  <dc:language>en</dc:language>
  <cp:keywords/>
  <dcterms:created xsi:type="dcterms:W3CDTF">2026-07-29T17:00:24Z</dcterms:created>
  <dcterms:modified xsi:type="dcterms:W3CDTF">2026-07-29T17:00:24Z</dcterms:modified>
</cp:coreProperties>
</file>

<file path=docProps/custom.xml><?xml version="1.0" encoding="utf-8"?>
<Properties xmlns="http://schemas.openxmlformats.org/officeDocument/2006/custom-properties" xmlns:vt="http://schemas.openxmlformats.org/officeDocument/2006/docPropsVTypes"/>
</file>