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Brazil's</w:t>
      </w:r>
      <w:r>
        <w:t xml:space="preserve"> </w:t>
      </w:r>
      <w:r>
        <w:t xml:space="preserve">Capital</w:t>
      </w:r>
    </w:p>
    <w:bookmarkStart w:id="30" w:name="Xbaba5692625261a8af54f3a91c265f29fab0eff"/>
    <w:p>
      <w:pPr>
        <w:pStyle w:val="Heading1"/>
      </w:pPr>
      <w:r>
        <w:t xml:space="preserve">Case Study: Accelerating Market Penetration for a SaaS Provider in Brazil Brasília</w:t>
      </w:r>
    </w:p>
    <w:bookmarkStart w:id="20" w:name="executive-summary"/>
    <w:p>
      <w:pPr>
        <w:pStyle w:val="Heading2"/>
      </w:pPr>
      <w:r>
        <w:t xml:space="preserve">Executive Summary</w:t>
      </w:r>
    </w:p>
    <w:p>
      <w:pPr>
        <w:pStyle w:val="FirstParagraph"/>
      </w:pPr>
      <w:r>
        <w:t xml:space="preserve">This case study examines the strategic sales initiatives undertaken by a mid-sized Enterprise Resource Planning (ERP) software provider to penetrate the public sector and large private enterprise markets in</w:t>
      </w:r>
      <w:r>
        <w:t xml:space="preserve"> </w:t>
      </w:r>
      <w:r>
        <w:rPr>
          <w:bCs/>
          <w:b/>
        </w:rPr>
        <w:t xml:space="preserve">Brazil Brasília</w:t>
      </w:r>
      <w:r>
        <w:t xml:space="preserve">. The region serves as the political heart of Brazil, hosting federal ministries, regulatory agencies, and a growing ecosystem of consulting firms. By adapting their</w:t>
      </w:r>
      <w:r>
        <w:t xml:space="preserve"> </w:t>
      </w:r>
      <w:r>
        <w:rPr>
          <w:bCs/>
          <w:b/>
        </w:rPr>
        <w:t xml:space="preserve">Sales Executive</w:t>
      </w:r>
      <w:r>
        <w:t xml:space="preserve"> </w:t>
      </w:r>
      <w:r>
        <w:t xml:space="preserve">methodologies to the unique bureaucratic landscape and cultural nuances of the Federal District (Distrito Federal), the company achieved a 140% increase in quarterly revenue within twelve months.</w:t>
      </w:r>
    </w:p>
    <w:bookmarkEnd w:id="20"/>
    <w:bookmarkStart w:id="21" w:name="company-background-and-challenge"/>
    <w:p>
      <w:pPr>
        <w:pStyle w:val="Heading2"/>
      </w:pPr>
      <w:r>
        <w:t xml:space="preserve">Company Background and Challenge</w:t>
      </w:r>
    </w:p>
    <w:p>
      <w:pPr>
        <w:pStyle w:val="FirstParagraph"/>
      </w:pPr>
      <w:r>
        <w:t xml:space="preserve">The client, TechGlobal Solutions, is a global provider of cloud-based supply chain management tools. While they held significant market share in São Paulo and Rio de Janeiro, their presence in</w:t>
      </w:r>
      <w:r>
        <w:t xml:space="preserve"> </w:t>
      </w:r>
      <w:r>
        <w:rPr>
          <w:bCs/>
          <w:b/>
        </w:rPr>
        <w:t xml:space="preserve">Brazil Brasília</w:t>
      </w:r>
      <w:r>
        <w:t xml:space="preserve"> </w:t>
      </w:r>
      <w:r>
        <w:t xml:space="preserve">was negligible. The primary challenge was not product suitability—government agencies had identified inefficiencies in their logistics—but rather access and trust. In the capital, procurement processes are rigid, heavily regulated by federal law (Lei de Licitações), and driven by long-term relationship building rather than immediate transactional needs.</w:t>
      </w:r>
    </w:p>
    <w:p>
      <w:pPr>
        <w:pStyle w:val="BodyText"/>
      </w:pPr>
      <w:r>
        <w:t xml:space="preserve">TechGlobal’s existing outreach strategy, which relied on cold emailing and direct digital marketing typical of North American markets, yielded a response rate of less than 1%. The company needed to restructure its</w:t>
      </w:r>
      <w:r>
        <w:t xml:space="preserve"> </w:t>
      </w:r>
      <w:r>
        <w:rPr>
          <w:bCs/>
          <w:b/>
        </w:rPr>
        <w:t xml:space="preserve">Sales Executive</w:t>
      </w:r>
      <w:r>
        <w:t xml:space="preserve"> </w:t>
      </w:r>
      <w:r>
        <w:t xml:space="preserve">approach to align with the high-context communication style and procedural requirements specific to</w:t>
      </w:r>
      <w:r>
        <w:t xml:space="preserve"> </w:t>
      </w:r>
      <w:r>
        <w:rPr>
          <w:bCs/>
          <w:b/>
        </w:rPr>
        <w:t xml:space="preserve">Brazil Brasília</w:t>
      </w:r>
      <w:r>
        <w:t xml:space="preserve">.</w:t>
      </w:r>
    </w:p>
    <w:bookmarkEnd w:id="21"/>
    <w:bookmarkStart w:id="25" w:name="Xc7a1e054d4f5ca59f74b195bde049b3d5b189ff"/>
    <w:p>
      <w:pPr>
        <w:pStyle w:val="Heading2"/>
      </w:pPr>
      <w:r>
        <w:t xml:space="preserve">The Strategic Pivot: Localizing the Sales Approach</w:t>
      </w:r>
    </w:p>
    <w:bookmarkStart w:id="22" w:name="X79a9d2047aae1080a63b2d042ac0931a1c79274"/>
    <w:p>
      <w:pPr>
        <w:pStyle w:val="Heading3"/>
      </w:pPr>
      <w:r>
        <w:t xml:space="preserve">1. Understanding the Political Geography of Sales</w:t>
      </w:r>
    </w:p>
    <w:p>
      <w:pPr>
        <w:pStyle w:val="FirstParagraph"/>
      </w:pPr>
      <w:r>
        <w:t xml:space="preserve">The first step involved a comprehensive analysis of the decision-making hierarchy within</w:t>
      </w:r>
      <w:r>
        <w:t xml:space="preserve"> </w:t>
      </w:r>
      <w:r>
        <w:rPr>
          <w:bCs/>
          <w:b/>
        </w:rPr>
        <w:t xml:space="preserve">Brazil Brasília</w:t>
      </w:r>
      <w:r>
        <w:t xml:space="preserve">. Unlike corporate headquarters in São Paulo, where CIOs or COOs hold significant sway, public sector procurement in the capital is influenced by legal compliance officers and political appointees. The sales team had to map out not just who bought software, but who defined the requirements for those purchases.</w:t>
      </w:r>
    </w:p>
    <w:p>
      <w:pPr>
        <w:pStyle w:val="BodyText"/>
      </w:pPr>
      <w:r>
        <w:t xml:space="preserve">The</w:t>
      </w:r>
      <w:r>
        <w:t xml:space="preserve"> </w:t>
      </w:r>
      <w:r>
        <w:rPr>
          <w:bCs/>
          <w:b/>
        </w:rPr>
        <w:t xml:space="preserve">Sales Executive</w:t>
      </w:r>
      <w:r>
        <w:t xml:space="preserve"> </w:t>
      </w:r>
      <w:r>
        <w:t xml:space="preserve">team was restructured into specialized pods focused on specific sectors: Transportation Ministry, Environment Secretariat, and Federal University systems. This specialization allowed representatives to speak the language of their prospects, demonstrating an understanding of local pain points such as fuel tracking for government fleets or carbon credit monitoring.</w:t>
      </w:r>
    </w:p>
    <w:bookmarkEnd w:id="22"/>
    <w:bookmarkStart w:id="23" w:name="X24bbf8075e00437ab56b2f41c3e1a96aa2713c3"/>
    <w:p>
      <w:pPr>
        <w:pStyle w:val="Heading3"/>
      </w:pPr>
      <w:r>
        <w:t xml:space="preserve">2. Embracing the "Jeitinho" through Compliance</w:t>
      </w:r>
    </w:p>
    <w:p>
      <w:pPr>
        <w:pStyle w:val="FirstParagraph"/>
      </w:pPr>
      <w:r>
        <w:t xml:space="preserve">In Brazil, business is often conducted through relationships. However, in</w:t>
      </w:r>
      <w:r>
        <w:t xml:space="preserve"> </w:t>
      </w:r>
      <w:r>
        <w:rPr>
          <w:bCs/>
          <w:b/>
        </w:rPr>
        <w:t xml:space="preserve">Brazil Brasília</w:t>
      </w:r>
      <w:r>
        <w:t xml:space="preserve">, this relationship building must exist within strict legal frameworks to avoid corruption allegations. The new strategy emphasized transparency and compliance as value propositions rather than obstacles.</w:t>
      </w:r>
    </w:p>
    <w:p>
      <w:pPr>
        <w:pStyle w:val="BodyText"/>
      </w:pPr>
      <w:r>
        <w:t xml:space="preserve">TechGlobal trained its</w:t>
      </w:r>
      <w:r>
        <w:t xml:space="preserve"> </w:t>
      </w:r>
      <w:r>
        <w:rPr>
          <w:bCs/>
          <w:b/>
        </w:rPr>
        <w:t xml:space="preserve">Sales Executive</w:t>
      </w:r>
      <w:r>
        <w:t xml:space="preserve"> </w:t>
      </w:r>
      <w:r>
        <w:t xml:space="preserve">staff to lead with compliance documentation during initial meetings. By providing pre-vetted data privacy certifications and interoperability standards compliant with Brazilian federal law, they reduced the administrative burden on government buyers. This approach signaled respect for the institution’s integrity, a crucial factor in establishing trust in the capital.</w:t>
      </w:r>
    </w:p>
    <w:bookmarkEnd w:id="23"/>
    <w:bookmarkStart w:id="24" w:name="the-power-of-face-to-face-engagement"/>
    <w:p>
      <w:pPr>
        <w:pStyle w:val="Heading3"/>
      </w:pPr>
      <w:r>
        <w:t xml:space="preserve">3. The Power of Face-to-Face Engagement</w:t>
      </w:r>
    </w:p>
    <w:p>
      <w:pPr>
        <w:pStyle w:val="FirstParagraph"/>
      </w:pPr>
      <w:r>
        <w:t xml:space="preserve">Digital outreach was supplemented by an aggressive ground game. In</w:t>
      </w:r>
      <w:r>
        <w:t xml:space="preserve"> </w:t>
      </w:r>
      <w:r>
        <w:rPr>
          <w:bCs/>
          <w:b/>
        </w:rPr>
        <w:t xml:space="preserve">Brazil Brasília</w:t>
      </w:r>
      <w:r>
        <w:t xml:space="preserve">, face-to-face interaction remains paramount for high-value deals. The company established a physical office in the Setor de Autarquias Sul, a hub for government agencies and private consulting firms. This location facilitated impromptu meetings and networking events.</w:t>
      </w:r>
    </w:p>
    <w:p>
      <w:pPr>
        <w:pStyle w:val="BodyText"/>
      </w:pPr>
      <w:r>
        <w:rPr>
          <w:bCs/>
          <w:b/>
        </w:rPr>
        <w:t xml:space="preserve">Sales Executive</w:t>
      </w:r>
      <w:r>
        <w:t xml:space="preserve"> </w:t>
      </w:r>
      <w:r>
        <w:t xml:space="preserve">personnel were required to attend industry conferences such as ExpoGov Brasil, which is frequently held in the capital. These events provided platforms to present whitepapers on digital transformation in public administration, positioning TechGlobal not just as a vendor, but as a thought leader.</w:t>
      </w:r>
    </w:p>
    <w:bookmarkEnd w:id="24"/>
    <w:bookmarkEnd w:id="25"/>
    <w:bookmarkStart w:id="26" w:name="implementation-and-execution"/>
    <w:p>
      <w:pPr>
        <w:pStyle w:val="Heading2"/>
      </w:pPr>
      <w:r>
        <w:t xml:space="preserve">Implementation and Execution</w:t>
      </w:r>
    </w:p>
    <w:p>
      <w:pPr>
        <w:pStyle w:val="FirstParagraph"/>
      </w:pPr>
      <w:r>
        <w:t xml:space="preserve">The implementation phase lasted six months. Key actions included:</w:t>
      </w:r>
    </w:p>
    <w:p>
      <w:pPr>
        <w:numPr>
          <w:ilvl w:val="0"/>
          <w:numId w:val="1001"/>
        </w:numPr>
        <w:pStyle w:val="Compact"/>
      </w:pPr>
      <w:r>
        <w:rPr>
          <w:bCs/>
          <w:b/>
        </w:rPr>
        <w:t xml:space="preserve">Hiring Local Talent:</w:t>
      </w:r>
      <w:r>
        <w:t xml:space="preserve"> </w:t>
      </w:r>
      <w:r>
        <w:t xml:space="preserve">Recruiting two senior</w:t>
      </w:r>
      <w:r>
        <w:t xml:space="preserve"> </w:t>
      </w:r>
      <w:r>
        <w:rPr>
          <w:bCs/>
          <w:b/>
        </w:rPr>
        <w:t xml:space="preserve">Sales Executive</w:t>
      </w:r>
      <w:r>
        <w:t xml:space="preserve">s who had previously worked within the public sector in</w:t>
      </w:r>
      <w:r>
        <w:t xml:space="preserve"> </w:t>
      </w:r>
      <w:r>
        <w:rPr>
          <w:bCs/>
          <w:b/>
        </w:rPr>
        <w:t xml:space="preserve">Brazil Brasília</w:t>
      </w:r>
      <w:r>
        <w:t xml:space="preserve">. Their insider knowledge of bureaucratic timelines and key stakeholders was invaluable.</w:t>
      </w:r>
    </w:p>
    <w:p>
      <w:pPr>
        <w:numPr>
          <w:ilvl w:val="0"/>
          <w:numId w:val="1001"/>
        </w:numPr>
        <w:pStyle w:val="Compact"/>
      </w:pPr>
      <w:r>
        <w:rPr>
          <w:bCs/>
          <w:b/>
        </w:rPr>
        <w:t xml:space="preserve">Pilot Program Launch:</w:t>
      </w:r>
      <w:r>
        <w:t xml:space="preserve"> </w:t>
      </w:r>
      <w:r>
        <w:t xml:space="preserve">Offering a free, limited-scope pilot to three non-critical government departments. This allowed the sales team to demonstrate ROI without requiring immediate budget allocation from restricted public funds.</w:t>
      </w:r>
    </w:p>
    <w:p>
      <w:pPr>
        <w:numPr>
          <w:ilvl w:val="0"/>
          <w:numId w:val="1001"/>
        </w:numPr>
        <w:pStyle w:val="Compact"/>
      </w:pPr>
      <w:r>
        <w:rPr>
          <w:bCs/>
          <w:b/>
        </w:rPr>
        <w:t xml:space="preserve">Stakeholder Mapping:</w:t>
      </w:r>
      <w:r>
        <w:t xml:space="preserve"> </w:t>
      </w:r>
      <w:r>
        <w:t xml:space="preserve">Creating detailed profiles of every department head and procurement officer involved in logistics, tracking their tenure, previous projects, and political affiliations to tailor communication styles.</w:t>
      </w:r>
    </w:p>
    <w:bookmarkEnd w:id="26"/>
    <w:bookmarkStart w:id="27" w:name="results-and-key-performance-indicators"/>
    <w:p>
      <w:pPr>
        <w:pStyle w:val="Heading2"/>
      </w:pPr>
      <w:r>
        <w:t xml:space="preserve">Results and Key Performance Indicators</w:t>
      </w:r>
    </w:p>
    <w:p>
      <w:pPr>
        <w:pStyle w:val="FirstParagraph"/>
      </w:pPr>
      <w:r>
        <w:t xml:space="preserve">The results of the localized strategy were significant. Within the first year of implementing these changes in</w:t>
      </w:r>
      <w:r>
        <w:t xml:space="preserve"> </w:t>
      </w:r>
      <w:r>
        <w:rPr>
          <w:bCs/>
          <w:b/>
        </w:rPr>
        <w:t xml:space="preserve">Brazil Brasília</w:t>
      </w:r>
      <w:r>
        <w:t xml:space="preserve">, TechGlobal Solutions achieved:</w:t>
      </w:r>
    </w:p>
    <w:p>
      <w:pPr>
        <w:pStyle w:val="BodyText"/>
      </w:pPr>
      <w:r>
        <w:t xml:space="preserve">Metric</w:t>
      </w:r>
    </w:p>
    <w:p>
      <w:pPr>
        <w:pStyle w:val="BodyText"/>
      </w:pPr>
      <w:r>
        <w:t xml:space="preserve">Pre-Strategy</w:t>
      </w:r>
    </w:p>
    <w:p>
      <w:pPr>
        <w:pStyle w:val="BodyText"/>
      </w:pPr>
      <w:r>
        <w:t xml:space="preserve">Post-Strategy (12 Months)Post-Strategy (12 Months)</w:t>
      </w:r>
    </w:p>
    <w:p>
      <w:pPr>
        <w:pStyle w:val="BodyText"/>
      </w:pPr>
      <w:r>
        <w:t xml:space="preserve">New Contracts SignedZeroFour Major Federal ContractsRevenue Growth in Region</w:t>
      </w:r>
    </w:p>
    <w:p>
      <w:pPr>
        <w:pStyle w:val="BodyText"/>
      </w:pPr>
      <w:r>
        <w:t xml:space="preserve">Base Line</w:t>
      </w:r>
    </w:p>
    <w:p>
      <w:pPr>
        <w:pStyle w:val="BodyText"/>
      </w:pPr>
      <w:r>
        <w:t xml:space="preserve">+14%Sales Cycle Duration</w:t>
      </w:r>
    </w:p>
    <w:p>
      <w:pPr>
        <w:pStyle w:val="BodyText"/>
      </w:pPr>
      <w:r>
        <w:t xml:space="preserve">Unmeasurable (No Deals)</w:t>
      </w:r>
    </w:p>
    <w:p>
      <w:pPr>
        <w:pStyle w:val="BodyText"/>
      </w:pPr>
      <w:r>
        <w:t xml:space="preserve">Avg. 6 MonthsClient Retention Rate</w:t>
      </w:r>
    </w:p>
    <w:p>
      <w:pPr>
        <w:pStyle w:val="BodyText"/>
      </w:pPr>
      <w:r>
        <w:t xml:space="preserve">N/A</w:t>
      </w:r>
    </w:p>
    <w:p>
      <w:pPr>
        <w:pStyle w:val="BodyText"/>
      </w:pPr>
      <w:r>
        <w:t xml:space="preserve">95% at Month 8</w:t>
      </w:r>
    </w:p>
    <w:bookmarkEnd w:id="27"/>
    <w:bookmarkStart w:id="28" w:name="challenges-overcome"/>
    <w:p>
      <w:pPr>
        <w:pStyle w:val="Heading2"/>
      </w:pPr>
      <w:r>
        <w:t xml:space="preserve">Challenges Overcome</w:t>
      </w:r>
    </w:p>
    <w:p>
      <w:pPr>
        <w:pStyle w:val="FirstParagraph"/>
      </w:pPr>
      <w:r>
        <w:t xml:space="preserve">The transition was not without hurdles. Initially, the</w:t>
      </w:r>
      <w:r>
        <w:t xml:space="preserve"> </w:t>
      </w:r>
      <w:r>
        <w:rPr>
          <w:bCs/>
          <w:b/>
        </w:rPr>
        <w:t xml:space="preserve">Sales Executive</w:t>
      </w:r>
      <w:r>
        <w:t xml:space="preserve"> </w:t>
      </w:r>
      <w:r>
        <w:t xml:space="preserve">team struggled with the length of government approval processes. A deal that might close in three weeks in a private sector context could take six months in</w:t>
      </w:r>
      <w:r>
        <w:t xml:space="preserve"> </w:t>
      </w:r>
      <w:r>
        <w:rPr>
          <w:bCs/>
          <w:b/>
        </w:rPr>
        <w:t xml:space="preserve">Brazil Brasília</w:t>
      </w:r>
      <w:r>
        <w:t xml:space="preserve">. To combat this, managers implemented a "nurturing calendar" that kept leads warm through regular, non-intrusive value-add communications, such as sharing industry regulatory updates.</w:t>
      </w:r>
    </w:p>
    <w:p>
      <w:pPr>
        <w:pStyle w:val="BodyText"/>
      </w:pPr>
      <w:r>
        <w:t xml:space="preserve">Additionally, budget cycles in the public sector are strictly tied to the Brazilian fiscal year. The sales team had to learn to time their pitches correctly. Instead of pushing for closes in January (when budgets are often frozen for review), they focused on finalizing proposals in October and November, aligning with the government's effort to utilize remaining annual budgets.</w:t>
      </w:r>
    </w:p>
    <w:bookmarkEnd w:id="28"/>
    <w:bookmarkStart w:id="29" w:name="conclusion"/>
    <w:p>
      <w:pPr>
        <w:pStyle w:val="Heading2"/>
      </w:pPr>
      <w:r>
        <w:t xml:space="preserve">Conclusion</w:t>
      </w:r>
    </w:p>
    <w:p>
      <w:pPr>
        <w:pStyle w:val="FirstParagraph"/>
      </w:pPr>
      <w:r>
        <w:t xml:space="preserve">This case study demonstrates that successful market entry into</w:t>
      </w:r>
      <w:r>
        <w:t xml:space="preserve"> </w:t>
      </w:r>
      <w:r>
        <w:rPr>
          <w:bCs/>
          <w:b/>
        </w:rPr>
        <w:t xml:space="preserve">Brazil Brasília</w:t>
      </w:r>
      <w:r>
        <w:t xml:space="preserve"> </w:t>
      </w:r>
      <w:r>
        <w:t xml:space="preserve">requires more than just a strong product. It demands a nuanced understanding of political geography, strict adherence to compliance norms, and the human-centric approach characteristic of Brazilian business culture. By empowering their</w:t>
      </w:r>
      <w:r>
        <w:t xml:space="preserve"> </w:t>
      </w:r>
      <w:r>
        <w:rPr>
          <w:bCs/>
          <w:b/>
        </w:rPr>
        <w:t xml:space="preserve">Sales Executive</w:t>
      </w:r>
      <w:r>
        <w:t xml:space="preserve"> </w:t>
      </w:r>
      <w:r>
        <w:t xml:space="preserve">team with local expertise and adapting their tactics to the rhythms of the capital’s public sector, TechGlobal Solutions transformed a dormant market into a high-growth engine.</w:t>
      </w:r>
    </w:p>
    <w:p>
      <w:pPr>
        <w:pStyle w:val="BodyText"/>
      </w:pPr>
      <w:r>
        <w:t xml:space="preserve">The key takeaway for other enterprises looking to expand in</w:t>
      </w:r>
      <w:r>
        <w:t xml:space="preserve"> </w:t>
      </w:r>
      <w:r>
        <w:rPr>
          <w:bCs/>
          <w:b/>
        </w:rPr>
        <w:t xml:space="preserve">Brazil Brasília</w:t>
      </w:r>
      <w:r>
        <w:t xml:space="preserve"> </w:t>
      </w:r>
      <w:r>
        <w:t xml:space="preserve">is that patience and relationship building are not just soft skills—they are critical strategic imperatives. The capital city operates on its own time and logic, and those who adapt their sales methodologies to fit the local context of</w:t>
      </w:r>
      <w:r>
        <w:t xml:space="preserve"> </w:t>
      </w:r>
      <w:r>
        <w:rPr>
          <w:bCs/>
          <w:b/>
        </w:rPr>
        <w:t xml:space="preserve">Brazil Brasília</w:t>
      </w:r>
      <w:r>
        <w:t xml:space="preserve"> </w:t>
      </w:r>
      <w:r>
        <w:t xml:space="preserve">will find the most significant opportunities for sustainable growth.</w:t>
      </w:r>
    </w:p>
    <w:p>
      <w:pPr>
        <w:pStyle w:val="BodyText"/>
      </w:pPr>
      <w:r>
        <w:rPr>
          <w:iCs/>
          <w:i/>
        </w:rPr>
        <w:t xml:space="preserve">Note: All data presented in this case study is anonymized for privacy purposes but reflects realistic market conditions observed in the Federal District of Brazil.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Execution in Brazil's Capital</dc:title>
  <dc:creator/>
  <dc:language>en</dc:language>
  <cp:keywords/>
  <dcterms:created xsi:type="dcterms:W3CDTF">2026-07-29T22:21:49Z</dcterms:created>
  <dcterms:modified xsi:type="dcterms:W3CDTF">2026-07-29T22:21:49Z</dcterms:modified>
</cp:coreProperties>
</file>

<file path=docProps/custom.xml><?xml version="1.0" encoding="utf-8"?>
<Properties xmlns="http://schemas.openxmlformats.org/officeDocument/2006/custom-properties" xmlns:vt="http://schemas.openxmlformats.org/officeDocument/2006/docPropsVTypes"/>
</file>