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9" w:name="clinical-case-study-report"/>
    <w:p>
      <w:pPr>
        <w:pStyle w:val="Heading1"/>
      </w:pPr>
      <w:r>
        <w:t xml:space="preserve">Clinical Case Study Report</w:t>
      </w:r>
    </w:p>
    <w:p>
      <w:pPr>
        <w:pStyle w:val="FirstParagraph"/>
      </w:pPr>
      <w:r>
        <w:rPr>
          <w:bCs/>
          <w:b/>
        </w:rPr>
        <w:t xml:space="preserve">Date:</w:t>
      </w:r>
      <w:r>
        <w:t xml:space="preserve"> </w:t>
      </w:r>
      <w:r>
        <w:t xml:space="preserve">October 24, 2023</w:t>
      </w:r>
      <w:r>
        <w:br/>
      </w:r>
      <w:r>
        <w:rPr>
          <w:bCs/>
          <w:b/>
        </w:rPr>
        <w:t xml:space="preserve">Locus:</w:t>
      </w:r>
      <w:r>
        <w:t xml:space="preserve">Brisbane,Queensland,Australia</w:t>
      </w:r>
      <w:r>
        <w:br/>
      </w:r>
      <w:r>
        <w:rPr>
          <w:bCs/>
          <w:b/>
        </w:rPr>
        <w:t xml:space="preserve">Educator Role:School Counselor</w:t>
      </w:r>
    </w:p>
    <w:p>
      <w:pPr>
        <w:pStyle w:val="BodyText"/>
      </w:pPr>
      <w:r>
        <w:t xml:space="preserve">This document outlines the therapeutic journey of a secondary student within the Australian educational framework in Brisbane. It highlights the specific role of the School Counselor in addressing mental health challenges among adolescents.</w:t>
      </w:r>
    </w:p>
    <w:bookmarkStart w:id="20" w:name="student-profile-and-background"/>
    <w:p>
      <w:pPr>
        <w:pStyle w:val="Heading2"/>
      </w:pPr>
      <w:r>
        <w:t xml:space="preserve">1. Student Profile and Background</w:t>
      </w:r>
    </w:p>
    <w:p>
      <w:pPr>
        <w:pStyle w:val="FirstParagraph"/>
      </w:pPr>
      <w:r>
        <w:rPr>
          <w:bCs/>
          <w:b/>
        </w:rPr>
        <w:t xml:space="preserve">Pseudonym:</w:t>
      </w:r>
      <w:r>
        <w:t xml:space="preserve"> </w:t>
      </w:r>
      <w:r>
        <w:rPr>
          <w:iCs/>
          <w:i/>
        </w:rPr>
        <w:t xml:space="preserve">Alex</w:t>
      </w:r>
    </w:p>
    <w:p>
      <w:pPr>
        <w:pStyle w:val="BodyText"/>
      </w:pPr>
      <w:r>
        <w:rPr>
          <w:bCs/>
          <w:b/>
        </w:rPr>
        <w:t xml:space="preserve">Ethnicity:</w:t>
      </w:r>
      <w:r>
        <w:t xml:space="preserve"> Australian-born, Caucasian background</w:t>
      </w:r>
      <w:r>
        <w:br/>
      </w:r>
      <w:r>
        <w:br/>
      </w:r>
      <w:r>
        <w:t xml:space="preserve">The student is a Year 10 pupil at a large state secondary college located in the inner-north suburbs of Brisbane. Alex presents as generally polite and well-liked by peers but has recently exhibited significant changes in academic performance and social withdrawal. Previous reports indicated high achievement in mathematics but declining engagement in humanities subjects over the past six months.</w:t>
      </w:r>
    </w:p>
    <w:p>
      <w:pPr>
        <w:pStyle w:val="BodyText"/>
      </w:pPr>
      <w:r>
        <w:t xml:space="preserve">Alex lives with both parents and an older sibling. Financially, the family is stable; however recent discussions revealed tension regarding parental expectations for university preparation. There were no prior referrals to mental health services or history of severe behavioral incidents prior to this current phase.</w:t>
      </w:r>
    </w:p>
    <w:bookmarkEnd w:id="20"/>
    <w:bookmarkStart w:id="21" w:name="presenting-issues"/>
    <w:p>
      <w:pPr>
        <w:pStyle w:val="Heading2"/>
      </w:pPr>
      <w:r>
        <w:t xml:space="preserve">2. Presenting Issues</w:t>
      </w:r>
    </w:p>
    <w:p>
      <w:pPr>
        <w:pStyle w:val="FirstParagraph"/>
      </w:pPr>
      <w:r>
        <w:t xml:space="preserve">The primary referral source was the Head of Department for Mathematics, who noted a drastic drop in homework completion rates and missed assessments during class time. Concurrently, the classroom teacher expressed concern that Alex appeared tearful during lessons but refused to speak up about it.</w:t>
      </w:r>
    </w:p>
    <w:p>
      <w:pPr>
        <w:pStyle w:val="BodyText"/>
      </w:pPr>
      <w:r>
        <w:t xml:space="preserve">Upon initial consultation with the School Counselor, </w:t>
      </w:r>
      <w:r>
        <w:rPr>
          <w:iCs/>
          <w:i/>
        </w:rPr>
        <w:t xml:space="preserve">Alex</w:t>
      </w:r>
      <w:r>
        <w:t xml:space="preserve"> reported symptoms consistent with anxiety and mild depressive episodes. Key indicators included:</w:t>
      </w:r>
    </w:p>
    <w:p>
      <w:pPr>
        <w:numPr>
          <w:ilvl w:val="0"/>
          <w:numId w:val="1001"/>
        </w:numPr>
        <w:pStyle w:val="Compact"/>
      </w:pPr>
      <w:r>
        <w:t xml:space="preserve">Persistent worry about academic failure despite strong past performance.</w:t>
      </w:r>
    </w:p>
    <w:p>
      <w:pPr>
        <w:numPr>
          <w:ilvl w:val="0"/>
          <w:numId w:val="1001"/>
        </w:numPr>
        <w:pStyle w:val="Compact"/>
      </w:pPr>
      <w:r>
        <w:t xml:space="preserve">Sleep disturbances (insomnia).</w:t>
      </w:r>
    </w:p>
    <w:p>
      <w:pPr>
        <w:pStyle w:val="FirstParagraph"/>
      </w:pPr>
      <w:r>
        <w:t xml:space="preserve">In the context of Brisbane’s school system, where the pressure for tertiary entrance rankings is intense, these symptoms manifested as physical complaints (headaches and stomach aches) resulting in frequent visits to the school nurse.</w:t>
      </w:r>
    </w:p>
    <w:bookmarkEnd w:id="21"/>
    <w:bookmarkStart w:id="23" w:name="assessment-and-cultural-context"/>
    <w:p>
      <w:pPr>
        <w:pStyle w:val="Heading2"/>
      </w:pPr>
      <w:r>
        <w:t xml:space="preserve">3. Assessment and Cultural Context</w:t>
      </w:r>
    </w:p>
    <w:p>
      <w:pPr>
        <w:pStyle w:val="FirstParagraph"/>
      </w:pPr>
      <w:r>
        <w:t xml:space="preserve">The School Counselor conducted a comprehensive biopsychosocial assessment. This process involved individual meetings with Alex to establish rapport, review cognitive patterns, and evaluate emotional regulation strategies.</w:t>
      </w:r>
    </w:p>
    <w:bookmarkStart w:id="22" w:name="Xe54272e54f4174259d401643d23b4334905da90"/>
    <w:p>
      <w:pPr>
        <w:pStyle w:val="Heading3"/>
      </w:pPr>
      <w:r>
        <w:t xml:space="preserve">Cultural Considerations in Australia Brisbane</w:t>
      </w:r>
    </w:p>
    <w:p>
      <w:pPr>
        <w:pStyle w:val="FirstParagraph"/>
      </w:pPr>
      <w:r>
        <w:t xml:space="preserve">Operating within the specific socio-cultural environment of Brisbane requires an understanding of local educational pressures. The Australian curriculum emphasizes holistic development alongside academic rigor. However, societal expectations often create a "perfect student" narrative that can be detrimental to mental well-being.</w:t>
      </w:r>
    </w:p>
    <w:p>
      <w:pPr>
        <w:pStyle w:val="BodyText"/>
      </w:pPr>
      <w:r>
        <w:t xml:space="preserve">The counselor also considered Alex’s neurotypical status and general cultural norms associated with growing up in Queensland. These include high engagement in outdoor activities and sports culture. The loss of connection to these community anchors contributed significantly to feelings of isolation.</w:t>
      </w:r>
    </w:p>
    <w:bookmarkEnd w:id="22"/>
    <w:bookmarkEnd w:id="23"/>
    <w:bookmarkStart w:id="24" w:name="intervention-strategy"/>
    <w:p>
      <w:pPr>
        <w:pStyle w:val="Heading2"/>
      </w:pPr>
      <w:r>
        <w:t xml:space="preserve">4. Intervention Strategy</w:t>
      </w:r>
    </w:p>
    <w:p>
      <w:pPr>
        <w:pStyle w:val="FirstParagraph"/>
      </w:pPr>
      <w:r>
        <w:t xml:space="preserve">The intervention plan was developed collaboratively, adhering to ethical guidelines set by professional bodies such as the Australian Association of Social Workers (AASW) and the Australian Counselling Association (ACA).</w:t>
      </w:r>
    </w:p>
    <w:p>
      <w:pPr>
        <w:numPr>
          <w:ilvl w:val="0"/>
          <w:numId w:val="1002"/>
        </w:numPr>
        <w:pStyle w:val="Compact"/>
      </w:pPr>
      <w:r>
        <w:rPr>
          <w:bCs/>
          <w:b/>
        </w:rPr>
        <w:t xml:space="preserve">Cognitive Behavioral Therapy (CBT) Techniques:</w:t>
      </w:r>
      <w:r>
        <w:t xml:space="preserve"> The primary modality used was CBT. Alex worked on identifying irrational beliefs related to perfectionism ("If I do not get an ATAR score above 95, my life is over"). The School Counselor helped break these thoughts down into more manageable, realistic perspectives.</w:t>
      </w:r>
    </w:p>
    <w:p>
      <w:pPr>
        <w:numPr>
          <w:ilvl w:val="0"/>
          <w:numId w:val="1002"/>
        </w:numPr>
        <w:pStyle w:val="Compact"/>
      </w:pPr>
      <w:r>
        <w:rPr>
          <w:bCs/>
          <w:b/>
        </w:rPr>
        <w:t xml:space="preserve">School-Based Accommodations:</w:t>
      </w:r>
      <w:r>
        <w:t xml:space="preserve"> The counselor liaised with the teaching staff to implement temporary adjustments. This included breaking down large assignment tasks into smaller milestones and allowing short breaks during exams if anxiety levels spiked. This approach ensured continuity of learning while reducing immediate stressors.</w:t>
      </w:r>
    </w:p>
    <w:p>
      <w:pPr>
        <w:numPr>
          <w:ilvl w:val="0"/>
          <w:numId w:val="1002"/>
        </w:numPr>
        <w:pStyle w:val="Compact"/>
      </w:pPr>
      <w:r>
        <w:rPr>
          <w:bCs/>
          <w:b/>
        </w:rPr>
        <w:t xml:space="preserve">Parental Engagement:</w:t>
      </w:r>
      <w:r>
        <w:t xml:space="preserve"> A critical component involved meeting with Alex’s parents. The School Counselor facilitated a dialogue to align parental expectations with the child’s mental health needs. Education was provided on signs of burnout and the importance of rest in maintaining long-term academic success.</w:t>
      </w:r>
    </w:p>
    <w:p>
      <w:pPr>
        <w:numPr>
          <w:ilvl w:val="0"/>
          <w:numId w:val="1002"/>
        </w:numPr>
        <w:pStyle w:val="Compact"/>
      </w:pPr>
      <w:r>
        <w:rPr>
          <w:bCs/>
          <w:b/>
        </w:rPr>
        <w:t xml:space="preserve">Lifestyle Integration:</w:t>
      </w:r>
      <w:r>
        <w:t xml:space="preserve"> To counteract social withdrawal, Alex was encouraged to re-engage with one low-pressure physical activity (walking rather than competitive team sports) to reconnect with the Brisbane outdoor lifestyle without performance pressure.</w:t>
      </w:r>
    </w:p>
    <w:bookmarkEnd w:id="24"/>
    <w:bookmarkStart w:id="25" w:name="progress-monitoring-and-outcomes"/>
    <w:p>
      <w:pPr>
        <w:pStyle w:val="Heading2"/>
      </w:pPr>
      <w:r>
        <w:t xml:space="preserve">5. Progress Monitoring and Outcomes</w:t>
      </w:r>
    </w:p>
    <w:p>
      <w:pPr>
        <w:pStyle w:val="FirstParagraph"/>
      </w:pPr>
      <w:r>
        <w:t xml:space="preserve">The case study spans a period of ten weeks. Progress was monitored through bi-weekly check-ins with Alex and feedback loops from teachers and parents.</w:t>
      </w:r>
    </w:p>
    <w:p>
      <w:pPr>
        <w:pStyle w:val="BodyText"/>
      </w:pPr>
      <w:r>
        <w:rPr>
          <w:bCs/>
          <w:b/>
        </w:rPr>
        <w:t xml:space="preserve">Milestone 1 (Weeks 1-4):</w:t>
      </w:r>
      <w:r>
        <w:t xml:space="preserve"> Initial resistance was observed in completing worksheets related to thought records. However, the parent meeting yielded positive changes at home, with reduced discussion about university rankings during dinner times. Sleep patterns began to improve slightly.</w:t>
      </w:r>
    </w:p>
    <w:p>
      <w:pPr>
        <w:pStyle w:val="BodyText"/>
      </w:pPr>
      <w:r>
        <w:rPr>
          <w:bCs/>
          <w:b/>
        </w:rPr>
        <w:t xml:space="preserve">Milestone 2 (Weeks 5-8):</w:t>
      </w:r>
      <w:r>
        <w:t xml:space="preserve"> </w:t>
      </w:r>
      <w:r>
        <w:rPr>
          <w:iCs/>
          <w:i/>
        </w:rPr>
        <w:t xml:space="preserve">Alex</w:t>
      </w:r>
      <w:r>
        <w:t xml:space="preserve"> began utilizing breathing techniques before tests. Academic submission rates improved to baseline levels. The student reported feeling "less heavy" during conversations with the School Counselor.</w:t>
      </w:r>
    </w:p>
    <w:p>
      <w:pPr>
        <w:pStyle w:val="BodyText"/>
      </w:pPr>
      <w:r>
        <w:rPr>
          <w:bCs/>
          <w:b/>
        </w:rPr>
        <w:t xml:space="preserve">Milestone 3 (Weeks 9-10):</w:t>
      </w:r>
      <w:r>
        <w:t xml:space="preserve"> Alex voluntarily returned to joining a casual hiking group on weekends in the nearby D’Aguilar Range, marking a successful reintegration into social activities. The final review meeting confirmed that Alex had developed sufficient coping mechanisms to manage stress independently.</w:t>
      </w:r>
    </w:p>
    <w:bookmarkEnd w:id="25"/>
    <w:bookmarkStart w:id="27" w:name="discussion-and-reflection"/>
    <w:p>
      <w:pPr>
        <w:pStyle w:val="Heading2"/>
      </w:pPr>
      <w:r>
        <w:t xml:space="preserve">6. Discussion and Reflection</w:t>
      </w:r>
    </w:p>
    <w:p>
      <w:pPr>
        <w:pStyle w:val="FirstParagraph"/>
      </w:pPr>
      <w:r>
        <w:t xml:space="preserve">This case study underscores the vital function of the School Counselor within Brisbane’s educational landscape. By acting as a bridge between home, school, and clinical resources, the counselor ensures that students receive timely support before issues escalate into more severe mental health crises.</w:t>
      </w:r>
    </w:p>
    <w:p>
      <w:pPr>
        <w:pStyle w:val="BodyText"/>
      </w:pPr>
      <w:r>
        <w:t xml:space="preserve">The success of this intervention relied heavily on a multi-systemic approach. It was not sufficient to work solely with the student; engaging teachers to adjust academic demands and involving parents to modify home dynamics were essential for sustainable change.</w:t>
      </w:r>
    </w:p>
    <w:bookmarkStart w:id="26" w:name="key-learnings"/>
    <w:p>
      <w:pPr>
        <w:pStyle w:val="Heading3"/>
      </w:pPr>
      <w:r>
        <w:t xml:space="preserve">Key Learnings</w:t>
      </w:r>
    </w:p>
    <w:p>
      <w:pPr>
        <w:numPr>
          <w:ilvl w:val="0"/>
          <w:numId w:val="1003"/>
        </w:numPr>
        <w:pStyle w:val="Compact"/>
      </w:pPr>
      <w:r>
        <w:t xml:space="preserve">Proactive identification of stress markers (such as nurse visits) is crucial in high-performing school environments.</w:t>
      </w:r>
    </w:p>
    <w:p>
      <w:pPr>
        <w:numPr>
          <w:ilvl w:val="0"/>
          <w:numId w:val="1003"/>
        </w:numPr>
        <w:pStyle w:val="Compact"/>
      </w:pPr>
      <w:r>
        <w:t xml:space="preserve">Cultural sensitivity regarding the Australian emphasis on balance ("fair go") helped reframe the concept of success for both student and family.The School Counselor serves not just as a therapist but also as an advocate for systemic adjustments within the classroom setting.</w:t>
      </w:r>
    </w:p>
    <w:bookmarkEnd w:id="26"/>
    <w:bookmarkEnd w:id="27"/>
    <w:bookmarkStart w:id="28" w:name="conclusion"/>
    <w:p>
      <w:pPr>
        <w:pStyle w:val="Heading2"/>
      </w:pPr>
      <w:r>
        <w:t xml:space="preserve">7. Conclusion</w:t>
      </w:r>
    </w:p>
    <w:p>
      <w:pPr>
        <w:pStyle w:val="FirstParagraph"/>
      </w:pPr>
      <w:r>
        <w:t xml:space="preserve">This case study illustrates how effective counseling interventions can restore balance to a student’s life in </w:t>
      </w:r>
      <w:r>
        <w:rPr>
          <w:bCs/>
          <w:b/>
        </w:rPr>
        <w:t xml:space="preserve">Australia Brisbane</w:t>
      </w:r>
      <w:r>
        <w:t xml:space="preserve">. By addressing the root causes of anxiety—perfectionism and familial pressure—the School Counselor empowered Alex to regain confidence and well-being. This document serves as a testament to the importance of integrated mental health support systems within Australian schools, ensuring that students are supported holistically in their educational journeys.</w:t>
      </w:r>
    </w:p>
    <w:p>
      <w:pPr>
        <w:pStyle w:val="BodyText"/>
      </w:pPr>
      <w:r>
        <w:br/>
      </w:r>
      <w:r>
        <w:br/>
      </w:r>
    </w:p>
    <w:p>
      <w:r>
        <w:pict>
          <v:rect style="width:0;height:1.5pt" o:hralign="center" o:hrstd="t" o:hr="t"/>
        </w:pict>
      </w:r>
    </w:p>
    <w:p>
      <w:pPr>
        <w:pStyle w:val="FirstParagraph"/>
      </w:pPr>
      <w:r>
        <w:rPr>
          <w:iCs/>
          <w:i/>
        </w:rPr>
        <w:t xml:space="preserve">Note: All names and identifying details have been changed to protect student confidentiality in accordance with Australian privacy laws and ethical standards in educational counseling.</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School Counselor in Australia Brisbane</dc:title>
  <dc:creator/>
  <dc:language>en</dc:language>
  <cp:keywords/>
  <dcterms:created xsi:type="dcterms:W3CDTF">2026-07-29T16:52:22Z</dcterms:created>
  <dcterms:modified xsi:type="dcterms:W3CDTF">2026-07-29T16:52:22Z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