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25" w:name="Xf54e3e3d86bcc7ccdabf2d12d742ad4fdcd4b73"/>
    <w:p>
      <w:pPr>
        <w:pStyle w:val="Heading1"/>
      </w:pPr>
      <w:r>
        <w:t xml:space="preserve">Bridging Academic Pressure and Mental Well-being in France, Lyon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District:</w:t>
      </w:r>
    </w:p>
    <w:p>
      <w:pPr>
        <w:pStyle w:val="BodyText"/>
      </w:pPr>
      <w:r>
        <w:t xml:space="preserve">&gt;Pupils facing challenges that may affect their academic progress or social integration.</w:t>
      </w:r>
    </w:p>
    <w:p>
      <w:pPr>
        <w:pStyle w:val="BodyText"/>
      </w:pPr>
      <w:r>
        <w:t xml:space="preserve">Crisis Intervention: Providing immediate support to pupils in distress.</w:t>
      </w:r>
    </w:p>
    <w:bookmarkStart w:id="20" w:name="the-specific-context-of-france-lyon"/>
    <w:p>
      <w:pPr>
        <w:pStyle w:val="Heading2"/>
      </w:pPr>
      <w:r>
        <w:t xml:space="preserve">The Specific Context of France, Lyon</w:t>
      </w:r>
    </w:p>
    <w:p>
      <w:pPr>
        <w:pStyle w:val="FirstParagraph"/>
      </w:pPr>
      <w:r>
        <w:t xml:space="preserve">To fully appreciate the necessity of this role, one must understand the unique educational landscape of France and specifically the city of Lyon. The French education system is characterized by high academic standards and a centralized curriculum. In recent years, there has been a growing recognition that traditional methods are insufficient for addressing complex psychosocial issues.</w:t>
      </w:r>
    </w:p>
    <w:p>
      <w:pPr>
        <w:pStyle w:val="BodyText"/>
      </w:pPr>
      <w:r>
        <w:rPr>
          <w:bCs/>
          <w:b/>
        </w:rPr>
        <w:t xml:space="preserve">Lyon</w:t>
      </w:r>
      <w:r>
        <w:t xml:space="preserve">, as the third-largest city in France, presents a unique microcosm of these challenges. It is known for its rich history and vibrant cultural life, but also faces socioeconomic disparities. The public school system in Lyon serves a diverse population, including families from varying economic backgrounds and significant immigrant communities. This diversity requires sensitive approaches to counseling that respect cultural nuances while upholding national educational goals.</w:t>
      </w:r>
    </w:p>
    <w:bookmarkEnd w:id="20"/>
    <w:bookmarkStart w:id="21" w:name="the-intervention-strategy"/>
    <w:p>
      <w:pPr>
        <w:pStyle w:val="Heading2"/>
      </w:pPr>
      <w:r>
        <w:t xml:space="preserve">The Intervention Strategy</w:t>
      </w:r>
    </w:p>
    <w:p>
      <w:pPr>
        <w:pStyle w:val="FirstParagraph"/>
      </w:pPr>
      <w:r>
        <w:rPr>
          <w:bCs/>
          <w:b/>
        </w:rPr>
        <w:t xml:space="preserve">1. Holistic Assessment Frameworks</w:t>
      </w:r>
    </w:p>
    <w:p>
      <w:pPr>
        <w:pStyle w:val="BodyText"/>
      </w:pPr>
      <w:r>
        <w:t xml:space="preserve">The primary objective was to develop a holistic assessment framework capable of identifying early signs of academic disengagement and mental health struggles. Traditional methods relied heavily on teacher referrals, which often missed subtle signs of distress among high-achieving or quiet students.</w:t>
      </w:r>
    </w:p>
    <w:bookmarkEnd w:id="21"/>
    <w:bookmarkStart w:id="22" w:name="evaluation-metrics"/>
    <w:p>
      <w:pPr>
        <w:pStyle w:val="Heading2"/>
      </w:pPr>
      <w:r>
        <w:t xml:space="preserve">Evaluation Metrics</w:t>
      </w:r>
    </w:p>
    <w:p>
      <w:pPr>
        <w:pStyle w:val="FirstParagraph"/>
      </w:pPr>
      <w:r>
        <w:rPr>
          <w:bCs/>
          <w:b/>
        </w:rPr>
        <w:t xml:space="preserve">Quantitative Measures:</w:t>
      </w:r>
    </w:p>
    <w:p>
      <w:pPr>
        <w:numPr>
          <w:ilvl w:val="0"/>
          <w:numId w:val="1001"/>
        </w:numPr>
        <w:pStyle w:val="Compact"/>
      </w:pPr>
      <w:r>
        <w:rPr>
          <w:bCs/>
          <w:b/>
        </w:rPr>
        <w:t xml:space="preserve">Absenteeism Rates:</w:t>
      </w:r>
      <w:r>
        <w:t xml:space="preserve"> </w:t>
      </w:r>
      <w:r>
        <w:t xml:space="preserve">A target reduction of 15% in chronic absenteeism.</w:t>
      </w:r>
    </w:p>
    <w:p>
      <w:pPr>
        <w:numPr>
          <w:ilvl w:val="0"/>
          <w:numId w:val="1001"/>
        </w:numPr>
        <w:pStyle w:val="Compact"/>
      </w:pPr>
      <w:r>
        <w:t xml:space="preserve">Crisis Response Times:: The time taken to intervene in reported bullying or emotional crises.</w:t>
      </w:r>
    </w:p>
    <w:bookmarkEnd w:id="22"/>
    <w:bookmarkStart w:id="23" w:name="sustainability-and-expansion"/>
    <w:p>
      <w:pPr>
        <w:pStyle w:val="Heading2"/>
      </w:pPr>
      <w:r>
        <w:t xml:space="preserve">Sustainability and Expansion</w:t>
      </w:r>
    </w:p>
    <w:p>
      <w:pPr>
        <w:pStyle w:val="FirstParagraph"/>
      </w:pPr>
      <w:r>
        <w:t xml:space="preserve">The success of the pilot program has prompted discussions about scaling the initiative across other districts in France. Key takeaways include:</w:t>
      </w:r>
      <w:r>
        <w:t xml:space="preserve"> </w:t>
      </w:r>
      <w:r>
        <w:t xml:space="preserve">1. The importance of integrating counselors into the daily school routine, not just as emergency responders but as preventive agents.</w:t>
      </w:r>
    </w:p>
    <w:p>
      <w:pPr>
        <w:pStyle w:val="BodyText"/>
      </w:pPr>
      <w:r>
        <w:t xml:space="preserve">3. The need for ongoing professional development to keep pace with evolving psychological research and social trends.</w:t>
      </w:r>
    </w:p>
    <w:bookmarkEnd w:id="23"/>
    <w:bookmarkStart w:id="24" w:name="conclusion"/>
    <w:p>
      <w:pPr>
        <w:pStyle w:val="Heading2"/>
      </w:pPr>
      <w:r>
        <w:t xml:space="preserve">Conclusion</w:t>
      </w:r>
    </w:p>
    <w:p>
      <w:pPr>
        <w:pStyle w:val="FirstParagraph"/>
      </w:pPr>
      <w:r>
        <w:t xml:space="preserve">The implementation of a dedicated School Counselor in Lyon demonstrates that targeted mental health support can significantly improve educational outcomes. By addressing the root causes of student distress through personalized care, schools can create environments where all pupils, regardless of their background, have the opportunity to thrive.</w:t>
      </w:r>
    </w:p>
    <w:p>
      <w:pPr>
        <w:pStyle w:val="BodyText"/>
      </w:pPr>
      <w:r>
        <w:t xml:space="preserve">This case study serves as a model for other institutions within France and abroad to consider how they might adapt similar strategies to meet their students' diverse needs. The role of the School Counselor is not merely supportive; it is transformative, fostering resilience and promoting long-term well-being in an increasingly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a School Counselor in France, Lyon</dc:title>
  <dc:creator/>
  <dc:language>en</dc:language>
  <cp:keywords/>
  <dcterms:created xsi:type="dcterms:W3CDTF">2026-07-29T05:02:42Z</dcterms:created>
  <dcterms:modified xsi:type="dcterms:W3CDTF">2026-07-29T05:02:42Z</dcterms:modified>
</cp:coreProperties>
</file>

<file path=docProps/custom.xml><?xml version="1.0" encoding="utf-8"?>
<Properties xmlns="http://schemas.openxmlformats.org/officeDocument/2006/custom-properties" xmlns:vt="http://schemas.openxmlformats.org/officeDocument/2006/docPropsVTypes"/>
</file>