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School</w:t>
      </w:r>
      <w:r>
        <w:t xml:space="preserve"> </w:t>
      </w:r>
      <w:r>
        <w:t xml:space="preserve">Counselor</w:t>
      </w:r>
      <w:r>
        <w:t xml:space="preserve"> </w:t>
      </w:r>
      <w:r>
        <w:t xml:space="preserve">Intervention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b86c7f12fc7c600e77da3b8445981f719713962"/>
    <w:p>
      <w:pPr>
        <w:pStyle w:val="Heading1"/>
      </w:pPr>
      <w:r>
        <w:rPr>
          <w:bCs/>
          <w:b/>
        </w:rPr>
        <w:t xml:space="preserve">Case Study:</w:t>
      </w:r>
      <w:r>
        <w:t xml:space="preserve"> </w:t>
      </w:r>
      <w:r>
        <w:t xml:space="preserve">Holistic Support for a Year 10 Student in an Urban</w:t>
      </w:r>
      <w:r>
        <w:t xml:space="preserve"> </w:t>
      </w:r>
      <w:r>
        <w:rPr>
          <w:bCs/>
          <w:b/>
        </w:rPr>
        <w:t xml:space="preserve">New Zealand Auckland</w:t>
      </w:r>
      <w:r>
        <w:br/>
      </w:r>
      <w:r>
        <w:t xml:space="preserve">School Context: The Role of the</w:t>
      </w:r>
      <w:r>
        <w:t xml:space="preserve"> </w:t>
      </w:r>
      <w:r>
        <w:rPr>
          <w:bCs/>
          <w:b/>
        </w:rPr>
        <w:t xml:space="preserve">School Counselor</w:t>
      </w:r>
    </w:p>
    <w:p>
      <w:pPr>
        <w:pStyle w:val="FirstParagraph"/>
      </w:pPr>
      <w:r>
        <w:rPr>
          <w:iCs/>
          <w:i/>
        </w:rPr>
        <w:t xml:space="preserve">Date:</w:t>
      </w:r>
      <w:r>
        <w:t xml:space="preserve"> </w:t>
      </w:r>
      <w:r>
        <w:t xml:space="preserve">October 24, 2023</w:t>
      </w:r>
      <w:r>
        <w:br/>
      </w:r>
      <w:r>
        <w:rPr>
          <w:iCs/>
          <w:i/>
        </w:rPr>
        <w:t xml:space="preserve">Locus:</w:t>
      </w:r>
      <w:r>
        <w:t xml:space="preserve"> </w:t>
      </w:r>
      <w:r>
        <w:t xml:space="preserve">Auckland, New Zealand</w:t>
      </w:r>
      <w:r>
        <w:br/>
      </w:r>
      <w:r>
        <w:rPr>
          <w:iCs/>
          <w:i/>
        </w:rPr>
        <w:t xml:space="preserve">Focus Area:</w:t>
      </w:r>
      <w:r>
        <w:rPr>
          <w:bCs/>
          <w:b/>
        </w:rPr>
        <w:t xml:space="preserve">School Counselor</w:t>
      </w:r>
      <w:r>
        <w:t xml:space="preserve">Efficacy in Diverse Educational Settings</w:t>
      </w:r>
    </w:p>
    <w:bookmarkStart w:id="20" w:name="school-counselor"/>
    <w:p>
      <w:pPr>
        <w:pStyle w:val="Heading2"/>
      </w:pPr>
      <w:r>
        <w:rPr>
          <w:bCs/>
          <w:b/>
        </w:rPr>
        <w:t xml:space="preserve">School Counselor</w:t>
      </w:r>
    </w:p>
    <w:p>
      <w:pPr>
        <w:pStyle w:val="FirstParagraph"/>
      </w:pPr>
      <w:r>
        <w:t xml:space="preserve">In the vibrant and diverse educational landscape of</w:t>
      </w:r>
      <w:r>
        <w:t xml:space="preserve"> </w:t>
      </w:r>
      <w:hyperlink w:anchor="New%20Zealand%20Auckland">
        <w:r>
          <w:rPr>
            <w:rStyle w:val="Hyperlink"/>
          </w:rPr>
          <w:t xml:space="preserve">New Zealand Auckland, school counselors play a pivotal role in supporting student well-being, academic success, and social-emotional development.</w:t>
        </w:r>
      </w:hyperlink>
      <w:r>
        <w:t xml:space="preserve"> </w:t>
      </w:r>
      <w:r>
        <w:t xml:space="preserve">This case study explores the intervention strategies employed by a</w:t>
      </w:r>
      <w:r>
        <w:t xml:space="preserve"> </w:t>
      </w:r>
      <w:r>
        <w:rPr>
          <w:bCs/>
          <w:b/>
        </w:rPr>
        <w:t xml:space="preserve">School Counselor</w:t>
      </w:r>
      <w:r>
        <w:t xml:space="preserve"> </w:t>
      </w:r>
      <w:r>
        <w:t xml:space="preserve">working with "Alex" (pseudonym), a Year 10 student at an intermediate school in Auckland. The study highlights how cultural responsiveness, particularly Te Ao Māori (the Māori world view) and Pasifika values, are integrated into counseling practices within the unique context of</w:t>
      </w:r>
      <w:r>
        <w:t xml:space="preserve"> </w:t>
      </w:r>
      <w:hyperlink w:anchor="New%20Zealand%20Auckland">
        <w:r>
          <w:rPr>
            <w:rStyle w:val="Hyperlink"/>
          </w:rPr>
          <w:t xml:space="preserve">New Zealand Auckland.</w:t>
        </w:r>
      </w:hyperlink>
    </w:p>
    <w:bookmarkEnd w:id="20"/>
    <w:bookmarkStart w:id="21" w:name="case-study-background"/>
    <w:p>
      <w:pPr>
        <w:pStyle w:val="Heading2"/>
      </w:pPr>
      <w:r>
        <w:rPr>
          <w:bCs/>
          <w:b/>
        </w:rPr>
        <w:t xml:space="preserve">Case Study</w:t>
      </w:r>
      <w:r>
        <w:t xml:space="preserve"> </w:t>
      </w:r>
      <w:r>
        <w:t xml:space="preserve">Background</w:t>
      </w:r>
    </w:p>
    <w:p>
      <w:pPr>
        <w:pStyle w:val="FirstParagraph"/>
      </w:pPr>
      <w:r>
        <w:t xml:space="preserve">Alex is a 14-year-old male student of Samoan and Māori descent attending a large, urban intermediate school in South</w:t>
      </w:r>
      <w:r>
        <w:t xml:space="preserve"> </w:t>
      </w:r>
      <w:hyperlink w:anchor="New%20Zealand%20Auckland">
        <w:r>
          <w:rPr>
            <w:rStyle w:val="Hyperlink"/>
          </w:rPr>
          <w:t xml:space="preserve">New Zealand Auckland.</w:t>
        </w:r>
      </w:hyperlink>
      <w:r>
        <w:t xml:space="preserve">. Alex has historically been an engaged learner but has recently exhibited signs of withdrawal, declining academic performance, and frequent absences. His whānau (extended family) reported increased tension at home and concerns about Alex’s mental health.</w:t>
      </w:r>
    </w:p>
    <w:p>
      <w:pPr>
        <w:pStyle w:val="BodyText"/>
      </w:pPr>
      <w:r>
        <w:t xml:space="preserve">The school’s</w:t>
      </w:r>
      <w:r>
        <w:t xml:space="preserve"> </w:t>
      </w:r>
      <w:r>
        <w:rPr>
          <w:bCs/>
          <w:b/>
        </w:rPr>
        <w:t xml:space="preserve">School Counselor</w:t>
      </w:r>
      <w:r>
        <w:t xml:space="preserve"> </w:t>
      </w:r>
      <w:r>
        <w:t xml:space="preserve">initiated a referral process through the pastoral care team. The goal of the</w:t>
      </w:r>
      <w:r>
        <w:t xml:space="preserve"> </w:t>
      </w:r>
      <w:hyperlink w:anchor="Case%20Study">
        <w:r>
          <w:rPr>
            <w:rStyle w:val="Hyperlink"/>
          </w:rPr>
          <w:t xml:space="preserve">Case Study</w:t>
        </w:r>
      </w:hyperlink>
      <w:r>
        <w:t xml:space="preserve"> </w:t>
      </w:r>
      <w:r>
        <w:t xml:space="preserve">is to analyze how the</w:t>
      </w:r>
      <w:r>
        <w:t xml:space="preserve"> </w:t>
      </w:r>
      <w:r>
        <w:rPr>
          <w:bCs/>
          <w:b/>
        </w:rPr>
        <w:t xml:space="preserve">School Counselor</w:t>
      </w:r>
      <w:r>
        <w:t xml:space="preserve">, operating within an Auckland framework that prioritizes holistic health (Hauora), can effectively support Alex while respecting his cultural identity and community connections in</w:t>
      </w:r>
      <w:r>
        <w:t xml:space="preserve"> </w:t>
      </w:r>
      <w:hyperlink w:anchor="New%20Zealand%20Auckland">
        <w:r>
          <w:rPr>
            <w:rStyle w:val="Hyperlink"/>
          </w:rPr>
          <w:t xml:space="preserve">New Zealand Auckland.</w:t>
        </w:r>
      </w:hyperlink>
    </w:p>
    <w:bookmarkEnd w:id="21"/>
    <w:bookmarkStart w:id="22" w:name="new-zealand-auckland-contextual-factors"/>
    <w:p>
      <w:pPr>
        <w:pStyle w:val="Heading2"/>
      </w:pPr>
      <w:r>
        <w:rPr>
          <w:bCs/>
          <w:b/>
        </w:rPr>
        <w:t xml:space="preserve">New Zealand Auckland</w:t>
      </w:r>
      <w:r>
        <w:t xml:space="preserve"> </w:t>
      </w:r>
      <w:r>
        <w:t xml:space="preserve">Contextual Factors</w:t>
      </w:r>
    </w:p>
    <w:p>
      <w:pPr>
        <w:pStyle w:val="FirstParagraph"/>
      </w:pPr>
      <w:r>
        <w:t xml:space="preserve">Auckland, as the largest city in</w:t>
      </w:r>
      <w:r>
        <w:t xml:space="preserve"> </w:t>
      </w:r>
      <w:r>
        <w:rPr>
          <w:iCs/>
          <w:i/>
        </w:rPr>
        <w:t xml:space="preserve">New Zealand,</w:t>
      </w:r>
      <w:r>
        <w:t xml:space="preserve">, is uniquely multicultural. Its student populations reflect a wide array of ethnicities, languages, and socio-economic backgrounds. For a</w:t>
      </w:r>
      <w:r>
        <w:t xml:space="preserve"> </w:t>
      </w:r>
      <w:r>
        <w:rPr>
          <w:bCs/>
          <w:b/>
        </w:rPr>
        <w:t xml:space="preserve">School Counselor</w:t>
      </w:r>
      <w:r>
        <w:t xml:space="preserve"> </w:t>
      </w:r>
      <w:r>
        <w:t xml:space="preserve">working in this environment, understanding the specific dynamics of urban Māori and Pasifika communities is crucial.</w:t>
      </w:r>
    </w:p>
    <w:p>
      <w:pPr>
        <w:pStyle w:val="BodyText"/>
      </w:pPr>
      <w:r>
        <w:t xml:space="preserve">In</w:t>
      </w:r>
      <w:r>
        <w:t xml:space="preserve"> </w:t>
      </w:r>
      <w:hyperlink w:anchor="New%20Zealand%20Auckland">
        <w:r>
          <w:rPr>
            <w:rStyle w:val="Hyperlink"/>
          </w:rPr>
          <w:t xml:space="preserve">New Zealand Auckland,</w:t>
        </w:r>
      </w:hyperlink>
      <w:r>
        <w:t xml:space="preserve">:</w:t>
      </w:r>
      <w:r>
        <w:t xml:space="preserve"> </w:t>
      </w:r>
      <w:r>
        <w:t xml:space="preserve">- Mental health stigma can vary significantly across cultures.</w:t>
      </w:r>
      <w:r>
        <w:t xml:space="preserve"> </w:t>
      </w:r>
      <w:r>
        <w:t xml:space="preserve">- Family (whānau) structures often extend beyond the nuclear family, requiring inclusive counseling approaches.</w:t>
      </w:r>
      <w:r>
        <w:t xml:space="preserve"> </w:t>
      </w:r>
      <w:r>
        <w:t xml:space="preserve">- Socio-economic disparities in different suburbs of</w:t>
      </w:r>
      <w:r>
        <w:t xml:space="preserve"> </w:t>
      </w:r>
      <w:hyperlink w:anchor="New%20Zealand%20Auckland">
        <w:r>
          <w:rPr>
            <w:rStyle w:val="Hyperlink"/>
          </w:rPr>
          <w:t xml:space="preserve">New Zealand Auckland</w:t>
        </w:r>
      </w:hyperlink>
      <w:r>
        <w:t xml:space="preserve"> </w:t>
      </w:r>
      <w:r>
        <w:t xml:space="preserve">impact student access to resources and support services.</w:t>
      </w:r>
    </w:p>
    <w:bookmarkEnd w:id="22"/>
    <w:bookmarkStart w:id="24" w:name="Xed1e5aca8443b8d8f0644dce1188dd798627781"/>
    <w:p>
      <w:pPr>
        <w:pStyle w:val="Heading2"/>
      </w:pPr>
      <w:r>
        <w:t xml:space="preserve">The Intervention: A</w:t>
      </w:r>
      <w:r>
        <w:t xml:space="preserve"> </w:t>
      </w:r>
      <w:r>
        <w:rPr>
          <w:bCs/>
          <w:b/>
        </w:rPr>
        <w:t xml:space="preserve">School Counselor</w:t>
      </w:r>
      <w:r>
        <w:t xml:space="preserve">'s Approach</w:t>
      </w:r>
    </w:p>
    <w:p>
      <w:pPr>
        <w:pStyle w:val="FirstParagraph"/>
      </w:pPr>
      <w:r>
        <w:t xml:space="preserve">The</w:t>
      </w:r>
      <w:r>
        <w:t xml:space="preserve"> </w:t>
      </w:r>
      <w:r>
        <w:rPr>
          <w:bCs/>
          <w:b/>
        </w:rPr>
        <w:t xml:space="preserve">School Counselor</w:t>
      </w:r>
      <w:r>
        <w:t xml:space="preserve">, trained in culturally responsive practices, adopted a multi-phased intervention plan tailored to Alex’s needs within the</w:t>
      </w:r>
      <w:r>
        <w:t xml:space="preserve"> </w:t>
      </w:r>
      <w:hyperlink w:anchor="New%20Zealand%20Auckland">
        <w:r>
          <w:rPr>
            <w:rStyle w:val="Hyperlink"/>
          </w:rPr>
          <w:t xml:space="preserve">New Zealand Auckland</w:t>
        </w:r>
      </w:hyperlink>
      <w:r>
        <w:t xml:space="preserve"> </w:t>
      </w:r>
      <w:r>
        <w:t xml:space="preserve">context.</w:t>
      </w:r>
    </w:p>
    <w:p>
      <w:pPr>
        <w:pStyle w:val="BodyText"/>
      </w:pPr>
      <w:r>
        <w:t xml:space="preserve"> Phase 1: Establishing Trust and Cultural Safety</w:t>
      </w:r>
    </w:p>
    <w:p>
      <w:pPr>
        <w:pStyle w:val="BodyText"/>
      </w:pPr>
      <w:r>
        <w:t xml:space="preserve">The initial meetings between the</w:t>
      </w:r>
      <w:r>
        <w:t xml:space="preserve"> </w:t>
      </w:r>
      <w:r>
        <w:rPr>
          <w:bCs/>
          <w:b/>
        </w:rPr>
        <w:t xml:space="preserve">School Counselor</w:t>
      </w:r>
      <w:r>
        <w:t xml:space="preserve"> </w:t>
      </w:r>
      <w:r>
        <w:t xml:space="preserve">and Alex focused on building rapport. Recognizing that traditional Western counseling methods might feel alienating, the counselor incorporated a "counseling in context" model. This involved:</w:t>
      </w:r>
    </w:p>
    <w:p>
      <w:pPr>
        <w:numPr>
          <w:ilvl w:val="0"/>
          <w:numId w:val="1001"/>
        </w:numPr>
        <w:pStyle w:val="Compact"/>
      </w:pPr>
      <w:r>
        <w:rPr>
          <w:iCs/>
          <w:i/>
        </w:rPr>
        <w:t xml:space="preserve"> Whakapapa Connection:</w:t>
      </w:r>
      <w:r>
        <w:t xml:space="preserve">: The</w:t>
      </w:r>
      <w:r>
        <w:t xml:space="preserve"> </w:t>
      </w:r>
      <w:r>
        <w:rPr>
          <w:bCs/>
          <w:b/>
        </w:rPr>
        <w:t xml:space="preserve">School Counselor</w:t>
      </w:r>
      <w:r>
        <w:t xml:space="preserve"> </w:t>
      </w:r>
      <w:r>
        <w:t xml:space="preserve">encouraged Alex to discuss his genealogy and tribal affiliations, validating his identity as both Māori and Samoan.</w:t>
      </w:r>
    </w:p>
    <w:p>
      <w:pPr>
        <w:numPr>
          <w:ilvl w:val="0"/>
          <w:numId w:val="1001"/>
        </w:numPr>
        <w:pStyle w:val="Compact"/>
      </w:pPr>
      <w:r>
        <w:t xml:space="preserve"> </w:t>
      </w:r>
      <w:r>
        <w:rPr>
          <w:iCs/>
          <w:i/>
        </w:rPr>
        <w:t xml:space="preserve">Kaiako Support:</w:t>
      </w:r>
      <w:r>
        <w:t xml:space="preserve">: Collaboration with Alex’s class teachers in</w:t>
      </w:r>
      <w:r>
        <w:t xml:space="preserve"> </w:t>
      </w:r>
      <w:hyperlink w:anchor="New%20Zealand%20Auckland">
        <w:r>
          <w:rPr>
            <w:rStyle w:val="Hyperlink"/>
          </w:rPr>
          <w:t xml:space="preserve">New Zealand Auckland</w:t>
        </w:r>
      </w:hyperlink>
      <w:r>
        <w:t xml:space="preserve"> </w:t>
      </w:r>
      <w:r>
        <w:t xml:space="preserve">to ensure consistency between classroom expectations and counseling goals.</w:t>
      </w:r>
    </w:p>
    <w:bookmarkStart w:id="23" w:name="phase-2-engaging-the-whānau"/>
    <w:p>
      <w:pPr>
        <w:pStyle w:val="Heading3"/>
      </w:pPr>
      <w:r>
        <w:t xml:space="preserve"> Phase 2: Engaging the Whānau</w:t>
      </w:r>
    </w:p>
    <w:p>
      <w:pPr>
        <w:pStyle w:val="FirstParagraph"/>
      </w:pPr>
      <w:r>
        <w:t xml:space="preserve">In line with Māori principles of collective well-being, the</w:t>
      </w:r>
      <w:r>
        <w:t xml:space="preserve"> </w:t>
      </w:r>
      <w:r>
        <w:rPr>
          <w:bCs/>
          <w:b/>
        </w:rPr>
        <w:t xml:space="preserve">School Counselor</w:t>
      </w:r>
      <w:r>
        <w:t xml:space="preserve">: arranged a hui (meeting) with Alex’s whānau. This was not held in a formal office setting but at the school’s marae (meeting grounds), emphasizing cultural safety.</w:t>
      </w:r>
    </w:p>
    <w:p>
      <w:pPr>
        <w:pStyle w:val="BodyText"/>
      </w:pPr>
      <w:r>
        <w:t xml:space="preserve">The discussion focused on:</w:t>
      </w:r>
    </w:p>
    <w:p>
      <w:pPr>
        <w:numPr>
          <w:ilvl w:val="0"/>
          <w:numId w:val="1002"/>
        </w:numPr>
        <w:pStyle w:val="Compact"/>
      </w:pPr>
      <w:r>
        <w:t xml:space="preserve"> Understanding the stressors at home, including financial pressures common in some areas of</w:t>
      </w:r>
      <w:r>
        <w:t xml:space="preserve"> </w:t>
      </w:r>
      <w:hyperlink w:anchor="New%20Zealand%20Auckland">
        <w:r>
          <w:rPr>
            <w:rStyle w:val="Hyperlink"/>
          </w:rPr>
          <w:t xml:space="preserve">New Zealand Auckland.</w:t>
        </w:r>
      </w:hyperlink>
    </w:p>
    <w:p>
      <w:pPr>
        <w:numPr>
          <w:ilvl w:val="0"/>
          <w:numId w:val="1002"/>
        </w:numPr>
        <w:pStyle w:val="Compact"/>
      </w:pPr>
      <w:r>
        <w:t xml:space="preserve"> Identifying Alex’s strengths and interests (e.g., rugby, art).</w:t>
      </w:r>
    </w:p>
    <w:p>
      <w:pPr>
        <w:pStyle w:val="FirstParagraph"/>
      </w:pPr>
      <w:r>
        <w:t xml:space="preserve">The</w:t>
      </w:r>
      <w:r>
        <w:t xml:space="preserve"> </w:t>
      </w:r>
      <w:r>
        <w:rPr>
          <w:bCs/>
          <w:b/>
        </w:rPr>
        <w:t xml:space="preserve">School Counselor</w:t>
      </w:r>
      <w:r>
        <w:t xml:space="preserve"> </w:t>
      </w:r>
      <w:r>
        <w:t xml:space="preserve">helped the whānau develop a support plan that included regular check-ins and family activities to strengthen bonds.</w:t>
      </w:r>
    </w:p>
    <w:p>
      <w:pPr>
        <w:pStyle w:val="BodyText"/>
      </w:pPr>
      <w:r>
        <w:t xml:space="preserve"> Phase 3: Academic and Social-Emotional Support</w:t>
      </w:r>
    </w:p>
    <w:p>
      <w:pPr>
        <w:pStyle w:val="BodyText"/>
      </w:pPr>
      <w:r>
        <w:t xml:space="preserve">Alex’s academic decline was partly due to anxiety about fitting in with peer groups in</w:t>
      </w:r>
      <w:r>
        <w:t xml:space="preserve"> </w:t>
      </w:r>
      <w:hyperlink w:anchor="New%20Zealand%20Auckland">
        <w:r>
          <w:rPr>
            <w:rStyle w:val="Hyperlink"/>
          </w:rPr>
          <w:t xml:space="preserve">New Zealand Auckland,</w:t>
        </w:r>
      </w:hyperlink>
      <w:r>
        <w:t xml:space="preserve">. The</w:t>
      </w:r>
      <w:r>
        <w:t xml:space="preserve"> </w:t>
      </w:r>
      <w:r>
        <w:rPr>
          <w:bCs/>
          <w:b/>
        </w:rPr>
        <w:t xml:space="preserve">School Counselor</w:t>
      </w:r>
      <w:r>
        <w:t xml:space="preserve"> </w:t>
      </w:r>
      <w:r>
        <w:t xml:space="preserve">worked with Alex to:</w:t>
      </w:r>
    </w:p>
    <w:p>
      <w:pPr>
        <w:numPr>
          <w:ilvl w:val="0"/>
          <w:numId w:val="1003"/>
        </w:numPr>
        <w:pStyle w:val="Compact"/>
      </w:pPr>
      <w:r>
        <w:t xml:space="preserve"> Develop coping strategies for social anxiety, such as mindfulness techniques rooted in local practices (e.g., connection to nature).</w:t>
      </w:r>
    </w:p>
    <w:p>
      <w:pPr>
        <w:numPr>
          <w:ilvl w:val="0"/>
          <w:numId w:val="1003"/>
        </w:numPr>
        <w:pStyle w:val="Compact"/>
      </w:pPr>
      <w:r>
        <w:t xml:space="preserve"> Set small, achievable academic goals with teacher support.</w:t>
      </w:r>
    </w:p>
    <w:p>
      <w:pPr>
        <w:pStyle w:val="FirstParagraph"/>
      </w:pPr>
      <w:r>
        <w:t xml:space="preserve">The counselor also facilitated peer mentoring connections with older students who shared similar cultural backgrounds, fostering a sense of belonging within the</w:t>
      </w:r>
      <w:r>
        <w:t xml:space="preserve"> </w:t>
      </w:r>
      <w:hyperlink w:anchor="New%20Zealand%20Auckland">
        <w:r>
          <w:rPr>
            <w:rStyle w:val="Hyperlink"/>
          </w:rPr>
          <w:t xml:space="preserve">New Zealand Auckland</w:t>
        </w:r>
      </w:hyperlink>
      <w:r>
        <w:t xml:space="preserve"> </w:t>
      </w:r>
      <w:r>
        <w:t xml:space="preserve">school environment.</w:t>
      </w:r>
    </w:p>
    <w:bookmarkEnd w:id="23"/>
    <w:bookmarkEnd w:id="24"/>
    <w:bookmarkStart w:id="25" w:name="outcomes-and-impact"/>
    <w:p>
      <w:pPr>
        <w:pStyle w:val="Heading2"/>
      </w:pPr>
      <w:r>
        <w:t xml:space="preserve"> Outcomes and Impact</w:t>
      </w:r>
    </w:p>
    <w:p>
      <w:pPr>
        <w:pStyle w:val="FirstParagraph"/>
      </w:pPr>
      <w:r>
        <w:t xml:space="preserve">Six months into the intervention, the outcomes were positive:</w:t>
      </w:r>
    </w:p>
    <w:p>
      <w:pPr>
        <w:numPr>
          <w:ilvl w:val="0"/>
          <w:numId w:val="1004"/>
        </w:numPr>
        <w:pStyle w:val="Compact"/>
      </w:pPr>
      <w:r>
        <w:t xml:space="preserve"> </w:t>
      </w:r>
      <w:r>
        <w:rPr>
          <w:iCs/>
          <w:i/>
        </w:rPr>
        <w:t xml:space="preserve">Athletic Attendance:</w:t>
      </w:r>
      <w:r>
        <w:t xml:space="preserve">: Improved from 75% to 95%, indicating increased engagement with school life in</w:t>
      </w:r>
      <w:r>
        <w:t xml:space="preserve"> </w:t>
      </w:r>
      <w:hyperlink w:anchor="New%20Zealand%20Auckland">
        <w:r>
          <w:rPr>
            <w:rStyle w:val="Hyperlink"/>
          </w:rPr>
          <w:t xml:space="preserve">New Zealand Auckland.</w:t>
        </w:r>
      </w:hyperlink>
    </w:p>
    <w:p>
      <w:pPr>
        <w:numPr>
          <w:ilvl w:val="0"/>
          <w:numId w:val="1004"/>
        </w:numPr>
        <w:pStyle w:val="Compact"/>
      </w:pPr>
      <w:r>
        <w:t xml:space="preserve"> </w:t>
      </w:r>
      <w:r>
        <w:rPr>
          <w:iCs/>
          <w:i/>
        </w:rPr>
        <w:t xml:space="preserve">Academic Performance:</w:t>
      </w:r>
      <w:r>
        <w:t xml:space="preserve">: Grades improved across core subjects, particularly in English and Mathematics.</w:t>
      </w:r>
    </w:p>
    <w:p>
      <w:pPr>
        <w:numPr>
          <w:ilvl w:val="0"/>
          <w:numId w:val="1004"/>
        </w:numPr>
        <w:pStyle w:val="Compact"/>
      </w:pPr>
      <w:r>
        <w:t xml:space="preserve"> </w:t>
      </w:r>
      <w:r>
        <w:rPr>
          <w:iCs/>
          <w:i/>
        </w:rPr>
        <w:t xml:space="preserve">Social-Emotional Well-being:</w:t>
      </w:r>
      <w:r>
        <w:t xml:space="preserve">: Alex reported feeling more confident and connected. His whānau noted reduced tension at home.</w:t>
      </w:r>
    </w:p>
    <w:p>
      <w:pPr>
        <w:pStyle w:val="FirstParagraph"/>
      </w:pPr>
      <w:r>
        <w:t xml:space="preserve">The</w:t>
      </w:r>
      <w:r>
        <w:t xml:space="preserve"> </w:t>
      </w:r>
      <w:r>
        <w:rPr>
          <w:bCs/>
          <w:b/>
        </w:rPr>
        <w:t xml:space="preserve">School Counselor</w:t>
      </w:r>
      <w:r>
        <w:t xml:space="preserve"> </w:t>
      </w:r>
      <w:r>
        <w:t xml:space="preserve">observed that the key to success was the culturally grounded approach, which resonated with Alex’s identity as a young person in</w:t>
      </w:r>
      <w:r>
        <w:t xml:space="preserve"> </w:t>
      </w:r>
      <w:hyperlink w:anchor="New%20Zealand%20Auckland">
        <w:r>
          <w:rPr>
            <w:rStyle w:val="Hyperlink"/>
          </w:rPr>
          <w:t xml:space="preserve">New Zealand Auckland,</w:t>
        </w:r>
      </w:hyperlink>
      <w:r>
        <w:t xml:space="preserve">.</w:t>
      </w:r>
    </w:p>
    <w:p>
      <w:pPr>
        <w:pStyle w:val="BodyText"/>
      </w:pPr>
      <w:r>
        <w:t xml:space="preserve"> Discussion: Implications for School Counseling in</w:t>
      </w:r>
      <w:r>
        <w:t xml:space="preserve"> </w:t>
      </w:r>
      <w:r>
        <w:rPr>
          <w:iCs/>
          <w:i/>
        </w:rPr>
        <w:t xml:space="preserve">New Zealand Auckland</w:t>
      </w:r>
    </w:p>
    <w:p>
      <w:pPr>
        <w:pStyle w:val="BodyText"/>
      </w:pPr>
      <w:r>
        <w:t xml:space="preserve">This case study underscores several critical points for</w:t>
      </w:r>
      <w:r>
        <w:t xml:space="preserve"> </w:t>
      </w:r>
      <w:r>
        <w:rPr>
          <w:bCs/>
          <w:b/>
        </w:rPr>
        <w:t xml:space="preserve">School Counselor</w:t>
      </w:r>
      <w:r>
        <w:t xml:space="preserve"> </w:t>
      </w:r>
      <w:r>
        <w:t xml:space="preserve">practitioners:</w:t>
      </w:r>
    </w:p>
    <w:p>
      <w:pPr>
        <w:numPr>
          <w:ilvl w:val="0"/>
          <w:numId w:val="1005"/>
        </w:numPr>
        <w:pStyle w:val="Compact"/>
      </w:pPr>
      <w:r>
        <w:rPr>
          <w:iCs/>
          <w:i/>
        </w:rPr>
        <w:t xml:space="preserve">Cultural Responsiveness is Non-Negotiable:</w:t>
      </w:r>
      <w:r>
        <w:t xml:space="preserve">: In the diverse setting of</w:t>
      </w:r>
      <w:r>
        <w:t xml:space="preserve"> </w:t>
      </w:r>
      <w:hyperlink w:anchor="New%20Zealand%20Auckland">
        <w:r>
          <w:rPr>
            <w:rStyle w:val="Hyperlink"/>
          </w:rPr>
          <w:t xml:space="preserve">New Zealand Auckland,</w:t>
        </w:r>
      </w:hyperlink>
      <w:r>
        <w:t xml:space="preserve">, counselors must integrate Te Ao Māori and Pasifika values into their practice. This means viewing the individual within their familial and communal context, not in isolation.</w:t>
      </w:r>
    </w:p>
    <w:p>
      <w:pPr>
        <w:numPr>
          <w:ilvl w:val="0"/>
          <w:numId w:val="1005"/>
        </w:numPr>
        <w:pStyle w:val="Compact"/>
      </w:pPr>
      <w:r>
        <w:t xml:space="preserve"> Collaboration is Key:: Effective counseling requires collaboration with teachers, whānau, external agencies (such as Youth Health Services in</w:t>
      </w:r>
      <w:r>
        <w:t xml:space="preserve"> </w:t>
      </w:r>
      <w:hyperlink w:anchor="New%20Zealand%20Auckland">
        <w:r>
          <w:rPr>
            <w:rStyle w:val="Hyperlink"/>
          </w:rPr>
          <w:t xml:space="preserve">New Zealand Auckland,</w:t>
        </w:r>
      </w:hyperlink>
      <w:r>
        <w:t xml:space="preserve">,), and community leaders.</w:t>
      </w:r>
    </w:p>
    <w:p>
      <w:pPr>
        <w:numPr>
          <w:ilvl w:val="0"/>
          <w:numId w:val="1005"/>
        </w:numPr>
        <w:pStyle w:val="Compact"/>
      </w:pPr>
      <w:r>
        <w:t xml:space="preserve"> </w:t>
      </w:r>
      <w:r>
        <w:rPr>
          <w:iCs/>
          <w:i/>
        </w:rPr>
        <w:t xml:space="preserve">Holistic Approach:</w:t>
      </w:r>
      <w:r>
        <w:t xml:space="preserve">: Addressing academic issues alone is insufficient. The</w:t>
      </w:r>
      <w:r>
        <w:t xml:space="preserve"> </w:t>
      </w:r>
      <w:r>
        <w:rPr>
          <w:bCs/>
          <w:b/>
        </w:rPr>
        <w:t xml:space="preserve">School Counselor</w:t>
      </w:r>
      <w:r>
        <w:t xml:space="preserve"> </w:t>
      </w:r>
      <w:r>
        <w:t xml:space="preserve">must address emotional, social, and cultural factors to achieve sustainable outcomes.</w:t>
      </w:r>
    </w:p>
    <w:p>
      <w:pPr>
        <w:pStyle w:val="FirstParagraph"/>
      </w:pPr>
      <w:r>
        <w:t xml:space="preserve">The role of the</w:t>
      </w:r>
      <w:r>
        <w:t xml:space="preserve"> </w:t>
      </w:r>
      <w:r>
        <w:rPr>
          <w:bCs/>
          <w:b/>
        </w:rPr>
        <w:t xml:space="preserve">School Counselor</w:t>
      </w:r>
      <w:r>
        <w:t xml:space="preserve"> </w:t>
      </w:r>
      <w:r>
        <w:t xml:space="preserve">in</w:t>
      </w:r>
      <w:r>
        <w:t xml:space="preserve"> </w:t>
      </w:r>
      <w:hyperlink w:anchor="New%20Zealand%20Auckland">
        <w:r>
          <w:rPr>
            <w:rStyle w:val="Hyperlink"/>
          </w:rPr>
          <w:t xml:space="preserve">New Zealand Auckland</w:t>
        </w:r>
      </w:hyperlink>
      <w:r>
        <w:t xml:space="preserve"> </w:t>
      </w:r>
      <w:r>
        <w:t xml:space="preserve">is evolving from a traditional clinical model to a more integrated, community-focused support system. This shift is essential for meeting the needs of an increasingly diverse student population.</w:t>
      </w:r>
    </w:p>
    <w:p>
      <w:pPr>
        <w:pStyle w:val="BodyText"/>
      </w:pPr>
      <w:r>
        <w:rPr>
          <w:iCs/>
          <w:i/>
        </w:rPr>
        <w:t xml:space="preserve"> Conclusion:</w:t>
      </w:r>
    </w:p>
    <w:p>
      <w:pPr>
        <w:pStyle w:val="BodyText"/>
      </w:pPr>
      <w:r>
        <w:t xml:space="preserve">This</w:t>
      </w:r>
      <w:r>
        <w:t xml:space="preserve"> </w:t>
      </w:r>
      <w:hyperlink w:anchor="Case%20Study">
        <w:r>
          <w:rPr>
            <w:rStyle w:val="Hyperlink"/>
          </w:rPr>
          <w:t xml:space="preserve">Case Study</w:t>
        </w:r>
      </w:hyperlink>
      <w:r>
        <w:t xml:space="preserve"> </w:t>
      </w:r>
      <w:r>
        <w:t xml:space="preserve">demonstrates that when a</w:t>
      </w:r>
      <w:r>
        <w:t xml:space="preserve"> </w:t>
      </w:r>
      <w:r>
        <w:rPr>
          <w:bCs/>
          <w:b/>
        </w:rPr>
        <w:t xml:space="preserve">School Counselor</w:t>
      </w:r>
      <w:r>
        <w:t xml:space="preserve"> </w:t>
      </w:r>
      <w:r>
        <w:t xml:space="preserve">employs culturally responsive strategies, they can significantly impact student well-being and academic success. In the unique cultural landscape of</w:t>
      </w:r>
      <w:r>
        <w:t xml:space="preserve"> </w:t>
      </w:r>
      <w:hyperlink w:anchor="New%20Zealand%20Auckland">
        <w:r>
          <w:rPr>
            <w:rStyle w:val="Hyperlink"/>
          </w:rPr>
          <w:t xml:space="preserve">New Zealand Auckland,</w:t>
        </w:r>
      </w:hyperlink>
      <w:r>
        <w:t xml:space="preserve">, this approach is not just beneficial but essential. By honoring the identities of students like Alex and engaging their whānau, counselors can create safe spaces for healing and growth.</w:t>
      </w:r>
    </w:p>
    <w:p>
      <w:pPr>
        <w:pStyle w:val="BodyText"/>
      </w:pPr>
      <w:r>
        <w:t xml:space="preserve">Future research should explore best practices for training</w:t>
      </w:r>
      <w:r>
        <w:t xml:space="preserve"> </w:t>
      </w:r>
      <w:r>
        <w:rPr>
          <w:bCs/>
          <w:b/>
        </w:rPr>
        <w:t xml:space="preserve">School Counselor</w:t>
      </w:r>
      <w:r>
        <w:t xml:space="preserve">s in specific cultural competencies relevant to urban centers like</w:t>
      </w:r>
      <w:r>
        <w:t xml:space="preserve"> </w:t>
      </w:r>
      <w:hyperlink w:anchor="New%20Zealand%20Auckland">
        <w:r>
          <w:rPr>
            <w:rStyle w:val="Hyperlink"/>
          </w:rPr>
          <w:t xml:space="preserve">New Zealand Auckland,</w:t>
        </w:r>
      </w:hyperlink>
      <w:r>
        <w:t xml:space="preserve">, to further enhance student outcomes across all ethnic groups.</w:t>
      </w:r>
    </w:p>
    <w:p>
      <w:pPr>
        <w:pStyle w:val="BodyText"/>
      </w:pPr>
      <w:r>
        <w:rPr>
          <w:iCs/>
          <w:i/>
        </w:rPr>
        <w:t xml:space="preserve"> Keywords:</w:t>
      </w:r>
      <w:r>
        <w:rPr>
          <w:bCs/>
          <w:b/>
        </w:rPr>
        <w:t xml:space="preserve">School Counselor,</w:t>
      </w:r>
      <w:r>
        <w:t xml:space="preserve"> </w:t>
      </w:r>
      <w:hyperlink w:anchor="Case%20Study">
        <w:r>
          <w:rPr>
            <w:rStyle w:val="Hyperlink"/>
            <w:bCs/>
            <w:b/>
          </w:rPr>
          <w:t xml:space="preserve">Case Study</w:t>
        </w:r>
      </w:hyperlink>
      <w:r>
        <w:t xml:space="preserve">,</w:t>
      </w:r>
      <w:r>
        <w:t xml:space="preserve"> </w:t>
      </w:r>
      <w:hyperlink w:anchor="New%20Zealand%20Auckland">
        <w:r>
          <w:rPr>
            <w:rStyle w:val="Hyperlink"/>
            <w:bCs/>
            <w:b/>
          </w:rPr>
          <w:t xml:space="preserve">New Zealand Auckland</w:t>
        </w:r>
        <w:r>
          <w:rPr>
            <w:rStyle w:val="Hyperlink"/>
          </w:rPr>
          <w:t xml:space="preserve">,</w:t>
        </w:r>
      </w:hyperlink>
      <w:r>
        <w:t xml:space="preserve">, Te Ao Māori, Pasifika Education, Student Well-being, Hauora.</w:t>
      </w:r>
    </w:p>
    <w:p>
      <w:pPr>
        <w:pStyle w:val="BodyText"/>
      </w:pPr>
      <w:r>
        <w:rPr>
          <w:iCs/>
          <w:i/>
        </w:rPr>
        <w:t xml:space="preserve"> References:</w:t>
      </w:r>
    </w:p>
    <w:p>
      <w:pPr>
        <w:numPr>
          <w:ilvl w:val="0"/>
          <w:numId w:val="1006"/>
        </w:numPr>
        <w:pStyle w:val="Compact"/>
      </w:pPr>
      <w:r>
        <w:t xml:space="preserve"> Ministry of Education. (2020).</w:t>
      </w:r>
      <w:r>
        <w:t xml:space="preserve"> </w:t>
      </w:r>
      <w:r>
        <w:rPr>
          <w:bCs/>
          <w:b/>
        </w:rPr>
        <w:t xml:space="preserve">School Counselor</w:t>
      </w:r>
      <w:r>
        <w:t xml:space="preserve"> </w:t>
      </w:r>
      <w:r>
        <w:t xml:space="preserve">Guidelines for Aotearoa New Zealand.</w:t>
      </w:r>
      <w:r>
        <w:br/>
      </w:r>
    </w:p>
    <w:p>
      <w:pPr>
        <w:numPr>
          <w:ilvl w:val="0"/>
          <w:numId w:val="1006"/>
        </w:numPr>
        <w:pStyle w:val="Compact"/>
      </w:pPr>
      <w:r>
        <w:t xml:space="preserve">Auckland Council. (2021).</w:t>
      </w:r>
      <w:r>
        <w:t xml:space="preserve"> </w:t>
      </w:r>
      <w:hyperlink w:anchor="New%20Zealand%20Auckland">
        <w:r>
          <w:rPr>
            <w:rStyle w:val="Hyperlink"/>
          </w:rPr>
          <w:t xml:space="preserve">New Zealand Auckland</w:t>
        </w:r>
      </w:hyperlink>
      <w:r>
        <w:t xml:space="preserve">: Community Outcomes Framework.</w:t>
      </w:r>
      <w:r>
        <w:br/>
      </w:r>
    </w:p>
    <w:p>
      <w:pPr>
        <w:numPr>
          <w:ilvl w:val="0"/>
          <w:numId w:val="1006"/>
        </w:numPr>
        <w:pStyle w:val="Compact"/>
      </w:pPr>
      <w:r>
        <w:t xml:space="preserve"> Te Taura Whiri i te Reo Māori. (2018). He Kupu Tika: A Guide to Correct Use of Te Reo Māori.</w:t>
      </w:r>
      <w:r>
        <w:br/>
      </w:r>
    </w:p>
    <w:p>
      <w:pPr>
        <w:pStyle w:val="FirstParagraph"/>
      </w:pPr>
      <w:r>
        <w:rPr>
          <w:iCs/>
          <w:i/>
        </w:rPr>
        <w:t xml:space="preserve"> End of</w:t>
      </w:r>
      <w:r>
        <w:rPr>
          <w:iCs/>
          <w:i/>
        </w:rPr>
        <w:t xml:space="preserve"> </w:t>
      </w:r>
      <w:hyperlink w:anchor="Case%20Study">
        <w:r>
          <w:rPr>
            <w:rStyle w:val="Hyperlink"/>
            <w:bCs/>
            <w:b/>
            <w:iCs/>
            <w:i/>
          </w:rPr>
          <w:t xml:space="preserve">Case Study</w:t>
        </w:r>
      </w:hyperlink>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School Counselor Intervention in New Zealand Auckland</dc:title>
  <dc:creator/>
  <dc:language>en</dc:language>
  <cp:keywords/>
  <dcterms:created xsi:type="dcterms:W3CDTF">2026-07-29T15:35:23Z</dcterms:created>
  <dcterms:modified xsi:type="dcterms:W3CDTF">2026-07-29T15:35:23Z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