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School</w:t>
      </w:r>
      <w:r>
        <w:t xml:space="preserve"> </w:t>
      </w:r>
      <w:r>
        <w:t xml:space="preserve">Counseling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Petersburg,</w:t>
      </w:r>
      <w:r>
        <w:t xml:space="preserve"> </w:t>
      </w:r>
      <w:r>
        <w:t xml:space="preserve">Russia</w:t>
      </w:r>
    </w:p>
    <w:bookmarkStart w:id="20" w:name="X50dd47badb213d4333de3ad645c5d5aa99c59c3"/>
    <w:p>
      <w:pPr>
        <w:pStyle w:val="Heading1"/>
      </w:pPr>
      <w:r>
        <w:t xml:space="preserve">Case Study: The Evolution of the School Counselor Role in Russia, Saint Petersburg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Focus Region: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Implementation of School Counseling Services in Saint Petersburg, Russia</dc:title>
  <dc:creator/>
  <cp:keywords/>
  <dcterms:created xsi:type="dcterms:W3CDTF">2026-07-29T16:08:41Z</dcterms:created>
  <dcterms:modified xsi:type="dcterms:W3CDTF">2026-07-29T16:08:41Z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