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30" w:name="X11a87db2e7ab1247cefbe061b99cd8749e27e67"/>
    <w:p>
      <w:pPr>
        <w:pStyle w:val="Heading1"/>
      </w:pPr>
      <w:r>
        <w:t xml:space="preserve">Digital Inclusion and Holistic Support in an Urban Context</w:t>
      </w:r>
    </w:p>
    <w:p>
      <w:pPr>
        <w:pStyle w:val="FirstParagraph"/>
      </w:pPr>
      <w:r>
        <w:rPr>
          <w:bCs/>
          <w:b/>
        </w:rPr>
        <w:t xml:space="preserve">Date:</w:t>
      </w:r>
      <w:r>
        <w:t xml:space="preserve"> </w:t>
      </w:r>
      <w:r>
        <w:t xml:space="preserve">October 24, 2023</w:t>
      </w:r>
      <w:r>
        <w:br/>
      </w:r>
      <w:r>
        <w:rPr>
          <w:bCs/>
          <w:b/>
        </w:rPr>
        <w:t xml:space="preserve">Location:</w:t>
      </w:r>
      <w:hyperlink w:anchor="Xa39a3ee5e6b4b0d3255bfef95601890afd80709">
        <w:r>
          <w:rPr>
            <w:rStyle w:val="Hyperlink"/>
          </w:rPr>
          <w:t xml:space="preserve">Australia Melbourne</w:t>
        </w:r>
      </w:hyperlink>
      <w:r>
        <w:br/>
      </w:r>
      <w:r>
        <w:rPr>
          <w:bCs/>
          <w:b/>
        </w:rPr>
        <w:t xml:space="preserve">Subject:</w:t>
      </w:r>
      <w:r>
        <w:t xml:space="preserve">Alice T., A Single Mother with Digital Disadvantages</w:t>
      </w:r>
      <w:r>
        <w:br/>
      </w:r>
    </w:p>
    <w:p>
      <w:pPr>
        <w:pStyle w:val="BodyText"/>
      </w:pPr>
      <w:r>
        <w:t xml:space="preserve">Professional Role:Social Worker</w:t>
      </w:r>
    </w:p>
    <w:bookmarkStart w:id="20" w:name="introduction-and-background"/>
    <w:p>
      <w:pPr>
        <w:pStyle w:val="Heading2"/>
      </w:pPr>
      <w:r>
        <w:t xml:space="preserve">1. Introduction and Background</w:t>
      </w:r>
    </w:p>
    <w:p>
      <w:pPr>
        <w:pStyle w:val="FirstParagraph"/>
      </w:pPr>
      <w:r>
        <w:t xml:space="preserve">This case study outlines the professional journey of a registered Social Worker operating within the complex socio-economic landscape of Australia, specifically focusing on the city of Melbourne. The primary objective is to demonstrate how social work principles are applied to address systemic barriers faced by vulnerable individuals in an urban environment. Melbourne, as Australia’s cultural and economic hub, presents unique challenges regarding cost-of-living pressures, housing affordability, and digital exclusion. This document serves as a detailed analysis of how a Social Worker navigates these specific regional dynamics to provide effective intervention.</w:t>
      </w:r>
    </w:p>
    <w:p>
      <w:pPr>
        <w:pStyle w:val="BodyText"/>
      </w:pPr>
      <w:r>
        <w:t xml:space="preserve">The subject of this case study is Alice T., a 34-year-old single mother residing in the inner-northern suburbs of Melbourne. Alice recently separated from her partner and moved into temporary accommodation with her two young children, aged five and seven. While Alice possesses basic literacy skills, she suffers from severe digital exclusion due to financial constraints and a lack of technical support infrastructure at home. This case study highlights the critical intersection between poverty, technology access, and family stability.</w:t>
      </w:r>
    </w:p>
    <w:bookmarkEnd w:id="20"/>
    <w:bookmarkStart w:id="21" w:name="X55b59a98928fd112cf9b630eadc438564874a5f"/>
    <w:p>
      <w:pPr>
        <w:pStyle w:val="Heading2"/>
      </w:pPr>
      <w:r>
        <w:t xml:space="preserve">2. The Role of the Social Worker in Australia Melbourne</w:t>
      </w:r>
    </w:p>
    <w:p>
      <w:pPr>
        <w:pStyle w:val="FirstParagraph"/>
      </w:pPr>
      <w:r>
        <w:t xml:space="preserve">In Australia, social work is governed by strict ethical guidelines set forth by the Australian Association of Social Workers (AASW). A Social Worker operating in this jurisdiction must adhere to a framework that emphasizes human rights, social justice, and client self-determination. However, the practical application of these values varies significantly depending on location. In a metropolitan center like</w:t>
      </w:r>
      <w:r>
        <w:t xml:space="preserve"> </w:t>
      </w:r>
      <w:hyperlink w:anchor="Xa39a3ee5e6b4b0d3255bfef95601890afd80709">
        <w:r>
          <w:rPr>
            <w:rStyle w:val="Hyperlink"/>
          </w:rPr>
          <w:t xml:space="preserve">Australia Melbourne</w:t>
        </w:r>
      </w:hyperlink>
      <w:r>
        <w:t xml:space="preserve">, the density of services is high, but so is the competition for resources.</w:t>
      </w:r>
    </w:p>
    <w:p>
      <w:pPr>
        <w:pStyle w:val="BodyText"/>
      </w:pPr>
      <w:r>
        <w:t xml:space="preserve">The Social Worker assigned to Alice’s case recognized that traditional face-to-face support was insufficient. The rapid digitization of government services in Australia means that essential benefits, such as Family Tax Benefit Part A and Child Care Subsidy applications, are processed primarily through digital portals. For a resident of Melbourne facing transient housing situations, accessing reliable internet and a secure device is not merely a convenience; it is a prerequisite for financial survival. Therefore, the Social Worker’s role expanded beyond emotional support to include technical advocacy and resource coordination.</w:t>
      </w:r>
    </w:p>
    <w:bookmarkEnd w:id="21"/>
    <w:bookmarkStart w:id="22" w:name="assessment-phase"/>
    <w:p>
      <w:pPr>
        <w:pStyle w:val="Heading2"/>
      </w:pPr>
      <w:r>
        <w:t xml:space="preserve">3. Assessment Phase</w:t>
      </w:r>
    </w:p>
    <w:p>
      <w:pPr>
        <w:pStyle w:val="FirstParagraph"/>
      </w:pPr>
      <w:r>
        <w:t xml:space="preserve">The initial assessment phase involved comprehensive bio-psychosocial evaluation. The Social Worker conducted home visits (where possible) and interviews at a local community health center in Melbourne. Key findings included:</w:t>
      </w:r>
    </w:p>
    <w:p>
      <w:pPr>
        <w:numPr>
          <w:ilvl w:val="0"/>
          <w:numId w:val="1001"/>
        </w:numPr>
        <w:pStyle w:val="Compact"/>
      </w:pPr>
      <w:r>
        <w:rPr>
          <w:bCs/>
          <w:b/>
        </w:rPr>
        <w:t xml:space="preserve">Housing Instability:</w:t>
      </w:r>
      <w:r>
        <w:t xml:space="preserve"> </w:t>
      </w:r>
      <w:r>
        <w:t xml:space="preserve">Alice was living in short-term holiday accommodation, which lacked dedicated workspace or privacy for her children.</w:t>
      </w:r>
    </w:p>
    <w:p>
      <w:pPr>
        <w:numPr>
          <w:ilvl w:val="0"/>
          <w:numId w:val="1001"/>
        </w:numPr>
        <w:pStyle w:val="Compact"/>
      </w:pPr>
      <w:r>
        <w:rPr>
          <w:bCs/>
          <w:b/>
        </w:rPr>
        <w:t xml:space="preserve">Digital Gap:</w:t>
      </w:r>
      <w:r>
        <w:t xml:space="preserve"> </w:t>
      </w:r>
      <w:r>
        <w:t xml:space="preserve">Alice did not own a computer or tablet. She relied on public library Wi-Fi, which had time limits and poor security, making it unsafe to manage sensitive bank details or government communications.</w:t>
      </w:r>
    </w:p>
    <w:p>
      <w:pPr>
        <w:numPr>
          <w:ilvl w:val="0"/>
          <w:numId w:val="1001"/>
        </w:numPr>
        <w:pStyle w:val="Compact"/>
      </w:pPr>
      <w:r>
        <w:rPr>
          <w:bCs/>
          <w:b/>
        </w:rPr>
        <w:t xml:space="preserve">Mental Health Impact:</w:t>
      </w:r>
      <w:r>
        <w:t xml:space="preserve"> </w:t>
      </w:r>
      <w:r>
        <w:t xml:space="preserve">The stress of navigating bureaucracy without digital tools contributed to anxiety and depressive symptoms in Alice.</w:t>
      </w:r>
    </w:p>
    <w:p>
      <w:pPr>
        <w:pStyle w:val="FirstParagraph"/>
      </w:pPr>
      <w:r>
        <w:t xml:space="preserve">The Social Worker identified that the lack of digital access was a barrier to all other aspects of Alice’s recovery. Without the ability to communicate efficiently with employers, schools, and government agencies, her economic reintegration was stalled.</w:t>
      </w:r>
    </w:p>
    <w:bookmarkEnd w:id="22"/>
    <w:bookmarkStart w:id="26" w:name="intervention-strategy"/>
    <w:p>
      <w:pPr>
        <w:pStyle w:val="Heading2"/>
      </w:pPr>
      <w:r>
        <w:t xml:space="preserve">4. Intervention Strategy</w:t>
      </w:r>
    </w:p>
    <w:p>
      <w:pPr>
        <w:pStyle w:val="FirstParagraph"/>
      </w:pPr>
      <w:r>
        <w:t xml:space="preserve">The intervention plan was multifaceted, tailored specifically to the resources available in Melbourne’s social service network.</w:t>
      </w:r>
    </w:p>
    <w:bookmarkStart w:id="23" w:name="a.-bridging-the-digital-divide"/>
    <w:p>
      <w:pPr>
        <w:pStyle w:val="Heading3"/>
      </w:pPr>
      <w:r>
        <w:t xml:space="preserve">A. Bridging the Digital Divide</w:t>
      </w:r>
    </w:p>
    <w:p>
      <w:pPr>
        <w:pStyle w:val="FirstParagraph"/>
      </w:pPr>
      <w:r>
        <w:t xml:space="preserve">The Social Worker connected Alice with local non-profit organizations in Melbourne that specialize in digital inclusion. These organizations provided a refurbished laptop and subsidized data plans. Furthermore, the Social Worker facilitated enrollment for Alice in free computer literacy courses offered by community colleges such as TAFE Victoria, ensuring she could navigate government portals confidently.</w:t>
      </w:r>
    </w:p>
    <w:bookmarkEnd w:id="23"/>
    <w:bookmarkStart w:id="24" w:name="b.-advocacy-and-systems-navigation"/>
    <w:p>
      <w:pPr>
        <w:pStyle w:val="Heading3"/>
      </w:pPr>
      <w:r>
        <w:t xml:space="preserve">B. Advocacy and Systems Navigation</w:t>
      </w:r>
    </w:p>
    <w:p>
      <w:pPr>
        <w:pStyle w:val="FirstParagraph"/>
      </w:pPr>
      <w:r>
        <w:t xml:space="preserve">Leveraging their professional network within Melbourne’s health and human services sector, the Social Worker facilitated an urgent referral to a legal aid clinic. This was crucial because Alice needed assistance with child custody arrangements, which were being delayed due to her inability to respond promptly to court correspondence via email.</w:t>
      </w:r>
    </w:p>
    <w:bookmarkEnd w:id="24"/>
    <w:bookmarkStart w:id="25" w:name="c.-holistic-family-support"/>
    <w:p>
      <w:pPr>
        <w:pStyle w:val="Heading3"/>
      </w:pPr>
      <w:r>
        <w:t xml:space="preserve">C. Holistic Family Support</w:t>
      </w:r>
    </w:p>
    <w:p>
      <w:pPr>
        <w:pStyle w:val="FirstParagraph"/>
      </w:pPr>
      <w:r>
        <w:t xml:space="preserve">The Social Worker coordinated with local early childhood centers in Melbourne to ensure the children received subsidized care, allowing Alice time to attend job interviews and training sessions. Regular check-ins were scheduled not only for case management but also to provide emotional counseling and stress management techniques.</w:t>
      </w:r>
    </w:p>
    <w:bookmarkEnd w:id="25"/>
    <w:bookmarkEnd w:id="26"/>
    <w:bookmarkStart w:id="27" w:name="outcomes-and-progress"/>
    <w:p>
      <w:pPr>
        <w:pStyle w:val="Heading2"/>
      </w:pPr>
      <w:r>
        <w:t xml:space="preserve">5. Outcomes and Progress</w:t>
      </w:r>
    </w:p>
    <w:p>
      <w:pPr>
        <w:pStyle w:val="FirstParagraph"/>
      </w:pPr>
      <w:r>
        <w:t xml:space="preserve">Over a six-month period, the collaborative efforts of the Social Worker, Alice, and Melbourne’s support network yielded significant positive outcomes:</w:t>
      </w:r>
    </w:p>
    <w:p>
      <w:pPr>
        <w:numPr>
          <w:ilvl w:val="0"/>
          <w:numId w:val="1002"/>
        </w:numPr>
        <w:pStyle w:val="Compact"/>
      </w:pPr>
      <w:r>
        <w:rPr>
          <w:bCs/>
          <w:b/>
        </w:rPr>
        <w:t xml:space="preserve">Digital Empowerment:</w:t>
      </w:r>
      <w:r>
        <w:t xml:space="preserve"> </w:t>
      </w:r>
      <w:r>
        <w:t xml:space="preserve">Alice gained proficiency in using online banking and government services. She successfully applied for permanent social housing through the Victorian Housing Register.</w:t>
      </w:r>
    </w:p>
    <w:p>
      <w:pPr>
        <w:numPr>
          <w:ilvl w:val="0"/>
          <w:numId w:val="1002"/>
        </w:numPr>
        <w:pStyle w:val="Compact"/>
      </w:pPr>
      <w:r>
        <w:t xml:space="preserve">Economic Stability:Alice secured part-time employment as an administrative assistant, a role she obtained after completing a digital skills course facilitated by the Social Worker’s referrals.</w:t>
      </w:r>
    </w:p>
    <w:p>
      <w:pPr>
        <w:numPr>
          <w:ilvl w:val="0"/>
          <w:numId w:val="1002"/>
        </w:numPr>
        <w:pStyle w:val="Compact"/>
      </w:pPr>
      <w:r>
        <w:rPr>
          <w:bCs/>
          <w:b/>
        </w:rPr>
        <w:t xml:space="preserve">Family Wellbeing:</w:t>
      </w:r>
      <w:r>
        <w:t xml:space="preserve">The children were enrolled in stable early education programs. Alice reported reduced anxiety levels and improved confidence in managing her household finances independently.</w:t>
      </w:r>
    </w:p>
    <w:bookmarkEnd w:id="27"/>
    <w:bookmarkStart w:id="28" w:name="discussion-and-reflection"/>
    <w:p>
      <w:pPr>
        <w:pStyle w:val="Heading2"/>
      </w:pPr>
      <w:r>
        <w:t xml:space="preserve">6. Discussion and Reflection</w:t>
      </w:r>
    </w:p>
    <w:p>
      <w:pPr>
        <w:pStyle w:val="FirstParagraph"/>
      </w:pPr>
      <w:r>
        <w:t xml:space="preserve">This case study illustrates the evolving nature of social work in urban centers like Australia Melbourne. The traditional definition of a Social Worker’s role is no longer limited to direct psychological counseling or resource distribution; it now heavily involves digital mediation. As government services migrate online, the "digital divide" has become a primary determinant of health and social inclusion.</w:t>
      </w:r>
    </w:p>
    <w:p>
      <w:pPr>
        <w:pStyle w:val="BodyText"/>
      </w:pPr>
      <w:r>
        <w:t xml:space="preserve">In the context of Melbourne, where public transport and service hubs are well-developed but expensive, the Social Worker’s ability to connect clients with localized resources was pivotal. The case highlights that effective social work practice requires an understanding of local infrastructure, policy frameworks specific to Victoria (such as the Victoria Charter on Health Information), and cultural competence.</w:t>
      </w:r>
    </w:p>
    <w:p>
      <w:pPr>
        <w:pStyle w:val="BodyText"/>
      </w:pPr>
      <w:r>
        <w:t xml:space="preserve">Furthermore, this document underscores the importance of inter-agency collaboration. The Social Worker did not work in isolation but acted as a bridge between healthcare, legal services, housing authorities, and technology providers. This holistic approach is essential for addressing the complex needs of modern urban populations.</w:t>
      </w:r>
    </w:p>
    <w:bookmarkEnd w:id="28"/>
    <w:bookmarkStart w:id="29" w:name="conclusion"/>
    <w:p>
      <w:pPr>
        <w:pStyle w:val="Heading2"/>
      </w:pPr>
      <w:r>
        <w:t xml:space="preserve">7. Conclusion</w:t>
      </w:r>
    </w:p>
    <w:p>
      <w:pPr>
        <w:pStyle w:val="FirstParagraph"/>
      </w:pPr>
      <w:r>
        <w:t xml:space="preserve">The case of Alice T. serves as a compelling example of how a dedicated Social Worker can transform a client’s trajectory by addressing systemic barriers rather than just individual symptoms. In Australia Melbourne, where the pace of technological change is rapid, social workers must adapt their practice to include digital literacy support as a core component of their interventions. By doing so, they not only empower individuals to regain control over their lives but also contribute to broader social justice goals within the Australian community.</w:t>
      </w:r>
    </w:p>
    <w:p>
      <w:pPr>
        <w:pStyle w:val="BodyText"/>
      </w:pPr>
      <w:r>
        <w:t xml:space="preserve">This case study reaffirms that the role of the Social Worker is dynamic and context-dependent. It requires a deep understanding of the local environment—specifically the nuances of life in Australia Melbourne—and a commitment to leveraging available resources to foster resilience and independence among vulnerable clients.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Practice in Melbourne, Australia</dc:title>
  <dc:creator/>
  <dc:language>en</dc:language>
  <cp:keywords/>
  <dcterms:created xsi:type="dcterms:W3CDTF">2026-07-29T05:00:20Z</dcterms:created>
  <dcterms:modified xsi:type="dcterms:W3CDTF">2026-07-29T05:00:20Z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