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Community</w:t>
      </w:r>
      <w:r>
        <w:t xml:space="preserve"> </w:t>
      </w:r>
      <w:r>
        <w:t xml:space="preserve">Integration</w:t>
      </w:r>
      <w:r>
        <w:t xml:space="preserve"> </w:t>
      </w:r>
      <w:r>
        <w:t xml:space="preserve">and</w:t>
      </w:r>
      <w:r>
        <w:t xml:space="preserve"> </w:t>
      </w:r>
      <w:r>
        <w:t xml:space="preserve">Support</w:t>
      </w:r>
      <w:r>
        <w:t xml:space="preserve"> </w:t>
      </w:r>
      <w:r>
        <w:t xml:space="preserve">in</w:t>
      </w:r>
      <w:r>
        <w:t xml:space="preserve"> </w:t>
      </w:r>
      <w:r>
        <w:t xml:space="preserve">Australia</w:t>
      </w:r>
      <w:r>
        <w:t xml:space="preserve"> </w:t>
      </w:r>
      <w:r>
        <w:t xml:space="preserve">Sydney</w:t>
      </w:r>
    </w:p>
    <w:bookmarkStart w:id="32" w:name="Xbd376dcaed00c3c1574755cec0417d1db756698"/>
    <w:p>
      <w:pPr>
        <w:pStyle w:val="Heading1"/>
      </w:pPr>
      <w:r>
        <w:t xml:space="preserve">Case Study Report: Holistic Social Work Practice in the Context of Australia Sydney</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New South Wales, Australia Sydney</w:t>
      </w:r>
      <w:r>
        <w:br/>
      </w:r>
      <w:r>
        <w:rPr>
          <w:bCs/>
          <w:b/>
        </w:rPr>
        <w:t xml:space="preserve">Prepared By:</w:t>
      </w:r>
      <w:r>
        <w:t xml:space="preserve"> </w:t>
      </w:r>
      <w:r>
        <w:t xml:space="preserve">Senior Social Worker Unit</w:t>
      </w:r>
    </w:p>
    <w:bookmarkStart w:id="20" w:name="X8f0e8e657cc907f887bd76259fb9556793ad997"/>
    <w:p>
      <w:pPr>
        <w:pStyle w:val="Heading2"/>
      </w:pPr>
      <w:r>
        <w:t xml:space="preserve">H1. Introduction and Contextual Framework</w:t>
      </w:r>
    </w:p>
    <w:p>
      <w:pPr>
        <w:pStyle w:val="FirstParagraph"/>
      </w:pPr>
      <w:r>
        <w:t xml:space="preserve">"</w:t>
      </w:r>
    </w:p>
    <w:p>
      <w:pPr>
        <w:pStyle w:val="BodyText"/>
      </w:pPr>
      <w:r>
        <w:t xml:space="preserve">This case study outlines the intervention strategies employed by a qualified social worker addressing complex family dynamics within the socio-economic landscape of Australia Sydney. As one of Australia's most diverse and densely populated cities, Sydney presents unique challenges for social services professionals. The intersection of high housing costs, cultural diversity, and varying levels of access to mental health resources requires a nuanced approach to case management.</w:t>
      </w:r>
    </w:p>
    <w:p>
      <w:pPr>
        <w:pStyle w:val="BodyText"/>
      </w:pPr>
      <w:r>
        <w:t xml:space="preserve">The primary objective of this document is to illustrate how professional social work practices adapt to the specific regulatory and cultural environments found in Australia Sydney. By examining a hypothetical but representative scenario involving a newly arrived migrant family, we can better understand the role of the social worker in facilitating stability, safety, and long-term integration.</w:t>
      </w:r>
    </w:p>
    <w:bookmarkEnd w:id="20"/>
    <w:bookmarkStart w:id="22" w:name="h2.-client-profile-and-presenting-issues"/>
    <w:p>
      <w:pPr>
        <w:pStyle w:val="Heading2"/>
      </w:pPr>
      <w:r>
        <w:t xml:space="preserve">H2. Client Profile and Presenting Issues</w:t>
      </w:r>
    </w:p>
    <w:p>
      <w:pPr>
        <w:pStyle w:val="FirstParagraph"/>
      </w:pPr>
      <w:r>
        <w:t xml:space="preserve">The client referred to as "The Patel Family" consists of parents (Raj and Priya) from South Asia who relocated to Australia Sydney two years ago under a skilled migration visa. They are raising three children: Leo (10), Anika (7), and young Samara (2). The family resides in a high-density apartment complex in the Inner West region of Sydney.</w:t>
      </w:r>
    </w:p>
    <w:bookmarkStart w:id="21" w:name="identified-needs"/>
    <w:p>
      <w:pPr>
        <w:pStyle w:val="Heading3"/>
      </w:pPr>
      <w:r>
        <w:t xml:space="preserve">Identified Needs:</w:t>
      </w:r>
    </w:p>
    <w:p>
      <w:pPr>
        <w:numPr>
          <w:ilvl w:val="0"/>
          <w:numId w:val="1001"/>
        </w:numPr>
        <w:pStyle w:val="Compact"/>
      </w:pPr>
      <w:r>
        <w:rPr>
          <w:bCs/>
          <w:b/>
        </w:rPr>
        <w:t xml:space="preserve">Housing Instability:</w:t>
      </w:r>
      <w:r>
        <w:t xml:space="preserve"> </w:t>
      </w:r>
      <w:r>
        <w:t xml:space="preserve">Due to rising rental prices specific to the Australia Sydney market, the family faced imminent eviction. The social worker intervened to negotiate with landlords and apply for emergency housing support.</w:t>
      </w:r>
    </w:p>
    <w:p>
      <w:pPr>
        <w:numPr>
          <w:ilvl w:val="0"/>
          <w:numId w:val="1001"/>
        </w:numPr>
        <w:pStyle w:val="Compact"/>
      </w:pPr>
      <w:r>
        <w:rPr>
          <w:bCs/>
          <w:b/>
        </w:rPr>
        <w:t xml:space="preserve">Cultural Isolation:</w:t>
      </w:r>
      <w:r>
        <w:t xml:space="preserve"> </w:t>
      </w:r>
      <w:r>
        <w:t xml:space="preserve">Limited English proficiency among the parents led to social isolation. The social worker connected them with local community centers that offer bilingual support groups.</w:t>
      </w:r>
    </w:p>
    <w:p>
      <w:pPr>
        <w:numPr>
          <w:ilvl w:val="0"/>
          <w:numId w:val="1001"/>
        </w:numPr>
        <w:pStyle w:val="Compact"/>
      </w:pPr>
      <w:r>
        <w:rPr>
          <w:bCs/>
          <w:b/>
        </w:rPr>
        <w:t xml:space="preserve">Educational Barriers:</w:t>
      </w:r>
      <w:r>
        <w:t xml:space="preserve"> </w:t>
      </w:r>
      <w:r>
        <w:t xml:space="preserve">Leo and Anika were struggling in school due to language barriers and a lack of understanding of the Australian curriculum expectations. The social worker facilitated an assessment for English as an Additional Language or Dialect (EAL/D) support services.</w:t>
      </w:r>
    </w:p>
    <w:p>
      <w:pPr>
        <w:numPr>
          <w:ilvl w:val="0"/>
          <w:numId w:val="1001"/>
        </w:numPr>
        <w:pStyle w:val="Compact"/>
      </w:pPr>
      <w:r>
        <w:rPr>
          <w:bCs/>
          <w:b/>
        </w:rPr>
        <w:t xml:space="preserve">Mental Health Strain:</w:t>
      </w:r>
      <w:r>
        <w:t xml:space="preserve"> </w:t>
      </w:r>
      <w:r>
        <w:t xml:space="preserve">Both parents reported symptoms of anxiety and depression related to acculturation stress. The social worker coordinated care with a local Aboriginal and Torres Strait Islander community-controlled health service that provides culturally safe mental health care for migrants.</w:t>
      </w:r>
    </w:p>
    <w:bookmarkEnd w:id="21"/>
    <w:bookmarkEnd w:id="22"/>
    <w:bookmarkStart w:id="26" w:name="X16d67da50c968f686ce38c8d6cd8fdcac08f618"/>
    <w:p>
      <w:pPr>
        <w:pStyle w:val="Heading2"/>
      </w:pPr>
      <w:r>
        <w:t xml:space="preserve">H3. Methodology: The Social Worker’s Approach</w:t>
      </w:r>
    </w:p>
    <w:p>
      <w:pPr>
        <w:pStyle w:val="FirstParagraph"/>
      </w:pPr>
      <w:r>
        <w:t xml:space="preserve">"</w:t>
      </w:r>
    </w:p>
    <w:p>
      <w:pPr>
        <w:pStyle w:val="BodyText"/>
      </w:pPr>
      <w:r>
        <w:t xml:space="preserve">In Australia Sydney, social workers must adhere strictly to the AASW (Australian Association of Social Workers) Code of Ethics. This case study highlights three key methodological pillars utilized by the assigned social worker:</w:t>
      </w:r>
    </w:p>
    <w:bookmarkStart w:id="23" w:name="person-in-environment-perspective"/>
    <w:p>
      <w:pPr>
        <w:pStyle w:val="Heading4"/>
      </w:pPr>
      <w:r>
        <w:t xml:space="preserve">1. Person-in-Environment Perspective</w:t>
      </w:r>
    </w:p>
    <w:p>
      <w:pPr>
        <w:pStyle w:val="FirstParagraph"/>
      </w:pPr>
      <w:r>
        <w:t xml:space="preserve">The social worker did not view the family's struggles solely through a clinical lens but considered the broader environmental factors of living in Australia Sydney. This included analyzing local council resources, state government housing policies (NSW Department of Communities and Justice), and community-specific networks. Understanding the physical and policy environment of Sydney was crucial for effective advocacy.</w:t>
      </w:r>
    </w:p>
    <w:bookmarkEnd w:id="23"/>
    <w:bookmarkStart w:id="24" w:name="strengths-based-practice"/>
    <w:p>
      <w:pPr>
        <w:pStyle w:val="Heading4"/>
      </w:pPr>
      <w:r>
        <w:t xml:space="preserve">2. Strengths-Based Practice</w:t>
      </w:r>
    </w:p>
    <w:p>
      <w:pPr>
        <w:pStyle w:val="FirstParagraph"/>
      </w:pPr>
      <w:r>
        <w:t xml:space="preserve">"</w:t>
      </w:r>
    </w:p>
    <w:p>
      <w:pPr>
        <w:pStyle w:val="BodyText"/>
      </w:pPr>
      <w:r>
        <w:t xml:space="preserve">Rather than focusing only on deficits, the social worker identified strengths within the Patel family. The parents were highly educated in their home country and demonstrated resilience in navigating complex visa processes. The children were described as eager to learn by teachers at their local Sydney public school. These strengths were leveraged to empower the family, encouraging Raj to volunteer at a local community garden, thereby building social capital and English proficiency simultaneously.</w:t>
      </w:r>
    </w:p>
    <w:bookmarkEnd w:id="24"/>
    <w:bookmarkStart w:id="25" w:name="cultural-safety-and-responsiveness"/>
    <w:p>
      <w:pPr>
        <w:pStyle w:val="Heading4"/>
      </w:pPr>
      <w:r>
        <w:t xml:space="preserve">3. Cultural Safety and Responsiveness</w:t>
      </w:r>
    </w:p>
    <w:p>
      <w:pPr>
        <w:pStyle w:val="FirstParagraph"/>
      </w:pPr>
      <w:r>
        <w:t xml:space="preserve">"</w:t>
      </w:r>
    </w:p>
    <w:p>
      <w:pPr>
        <w:pStyle w:val="BodyText"/>
      </w:pPr>
      <w:r>
        <w:t xml:space="preserve">A critical component of working with migrant families in Australia Sydney is ensuring cultural safety. The social worker engaged in self-reflection to identify any potential biases and actively sought to understand the Patel family’s cultural values regarding child-rearing, gender roles, and elder care. This approach built trust, which is essential for successful case outcomes.</w:t>
      </w:r>
    </w:p>
    <w:bookmarkEnd w:id="25"/>
    <w:bookmarkEnd w:id="26"/>
    <w:bookmarkStart w:id="27" w:name="h4.-interventions-and-actions-taken"/>
    <w:p>
      <w:pPr>
        <w:pStyle w:val="Heading2"/>
      </w:pPr>
      <w:r>
        <w:t xml:space="preserve">H4. Interventions and Actions Taken</w:t>
      </w:r>
    </w:p>
    <w:p>
      <w:pPr>
        <w:pStyle w:val="FirstParagraph"/>
      </w:pPr>
      <w:r>
        <w:t xml:space="preserve">"</w:t>
      </w:r>
    </w:p>
    <w:p>
      <w:pPr>
        <w:pStyle w:val="BodyText"/>
      </w:pPr>
      <w:r>
        <w:t xml:space="preserve">The social worker implemented a multi-agency approach involving various stakeholders in the Australia Sydney ecosystem:</w:t>
      </w:r>
    </w:p>
    <w:p>
      <w:pPr>
        <w:numPr>
          <w:ilvl w:val="0"/>
          <w:numId w:val="1002"/>
        </w:numPr>
        <w:pStyle w:val="Compact"/>
      </w:pPr>
      <w:r>
        <w:rPr>
          <w:bCs/>
          <w:b/>
        </w:rPr>
        <w:t xml:space="preserve">Housing Advocacy:</w:t>
      </w:r>
      <w:r>
        <w:t xml:space="preserve"> </w:t>
      </w:r>
      <w:r>
        <w:t xml:space="preserve">The social worker liaised with NSW Fair Trading and local legal aid to ensure the family’s rights as tenants were protected. They assisted in preparing a robust application for social housing, acknowledging the long waitlists prevalent in Sydney.</w:t>
      </w:r>
    </w:p>
    <w:p>
      <w:pPr>
        <w:numPr>
          <w:ilvl w:val="0"/>
          <w:numId w:val="1002"/>
        </w:numPr>
        <w:pStyle w:val="Compact"/>
      </w:pPr>
      <w:r>
        <w:rPr>
          <w:bCs/>
          <w:b/>
        </w:rPr>
        <w:t xml:space="preserve">Educational Liaison:</w:t>
      </w:r>
      <w:r>
        <w:t xml:space="preserve"> </w:t>
      </w:r>
      <w:r>
        <w:t xml:space="preserve">Meetings were held with school principals and EAL/D coordinators to develop an Individual Learning Plan for Leo and Anika. This ensured they received targeted language support without being stigmatized.</w:t>
      </w:r>
    </w:p>
    <w:p>
      <w:pPr>
        <w:numPr>
          <w:ilvl w:val="0"/>
          <w:numId w:val="1002"/>
        </w:numPr>
        <w:pStyle w:val="Compact"/>
      </w:pPr>
      <w:r>
        <w:rPr>
          <w:bCs/>
          <w:b/>
        </w:rPr>
        <w:t xml:space="preserve">Mental Health Referral:</w:t>
      </w:r>
      <w:r>
        <w:t xml:space="preserve"> </w:t>
      </w:r>
      <w:r>
        <w:t xml:space="preserve">The social worker provided a referral to a GP who was familiar with cross-cultural mental health issues. This led to the family accessing Medicare-subsidized psychology sessions, which is particularly relevant for residents of Australia Sydney seeking affordable care.</w:t>
      </w:r>
    </w:p>
    <w:p>
      <w:pPr>
        <w:numPr>
          <w:ilvl w:val="0"/>
          <w:numId w:val="1002"/>
        </w:numPr>
        <w:pStyle w:val="Compact"/>
      </w:pPr>
      <w:r>
        <w:rPr>
          <w:bCs/>
          <w:b/>
        </w:rPr>
        <w:t xml:space="preserve">Community Connection:</w:t>
      </w:r>
      <w:r>
        <w:t xml:space="preserve"> </w:t>
      </w:r>
      <w:r>
        <w:t xml:space="preserve">The social worker introduced the family to a local "Settlement Services International" branch. Here, they received assistance with job applications for Priya and navigated public transport systems using Opal cards, enhancing their independence in the city.</w:t>
      </w:r>
    </w:p>
    <w:p>
      <w:pPr>
        <w:pStyle w:val="FirstParagraph"/>
      </w:pPr>
      <w:r>
        <w:t xml:space="preserve">"</w:t>
      </w:r>
    </w:p>
    <w:bookmarkEnd w:id="27"/>
    <w:bookmarkStart w:id="28" w:name="h5.-outcomes-and-impact-assessment"/>
    <w:p>
      <w:pPr>
        <w:pStyle w:val="Heading2"/>
      </w:pPr>
      <w:r>
        <w:t xml:space="preserve">H5. Outcomes and Impact Assessment</w:t>
      </w:r>
    </w:p>
    <w:p>
      <w:pPr>
        <w:pStyle w:val="FirstParagraph"/>
      </w:pPr>
      <w:r>
        <w:t xml:space="preserve">"</w:t>
      </w:r>
      <w:r>
        <w:t xml:space="preserve"> </w:t>
      </w:r>
      <w:r>
        <w:t xml:space="preserve">After six months of intensive social work intervention, measurable improvements were observed in the Patel family’s quality of life:</w:t>
      </w:r>
    </w:p>
    <w:p>
      <w:pPr>
        <w:numPr>
          <w:ilvl w:val="0"/>
          <w:numId w:val="1003"/>
        </w:numPr>
        <w:pStyle w:val="Compact"/>
      </w:pPr>
      <w:r>
        <w:rPr>
          <w:bCs/>
          <w:b/>
        </w:rPr>
        <w:t xml:space="preserve">Housing Security:</w:t>
      </w:r>
      <w:r>
        <w:t xml:space="preserve"> </w:t>
      </w:r>
      <w:r>
        <w:t xml:space="preserve">The immediate eviction threat was resolved through a mediation agreement. While they remain in temporary accommodation, their application for permanent social housing has progressed significantly.</w:t>
      </w:r>
    </w:p>
    <w:p>
      <w:pPr>
        <w:numPr>
          <w:ilvl w:val="0"/>
          <w:numId w:val="1003"/>
        </w:numPr>
        <w:pStyle w:val="Compact"/>
      </w:pPr>
      <w:r>
        <w:rPr>
          <w:bCs/>
          <w:b/>
        </w:rPr>
        <w:t xml:space="preserve">Educational Progress:</w:t>
      </w:r>
      <w:r>
        <w:t xml:space="preserve"> </w:t>
      </w:r>
      <w:r>
        <w:t xml:space="preserve">Leo and Anika showed a 20% improvement in English literacy scores over the term. Their attendance rates improved to 95%, indicating increased engagement with school life.</w:t>
      </w:r>
    </w:p>
    <w:p>
      <w:pPr>
        <w:numPr>
          <w:ilvl w:val="0"/>
          <w:numId w:val="1003"/>
        </w:numPr>
        <w:pStyle w:val="Compact"/>
      </w:pPr>
      <w:r>
        <w:rPr>
          <w:bCs/>
          <w:b/>
        </w:rPr>
        <w:t xml:space="preserve">Social Well-being:</w:t>
      </w:r>
      <w:r>
        <w:t xml:space="preserve"> </w:t>
      </w:r>
      <w:r>
        <w:t xml:space="preserve">Priya began attending weekly English conversation classes at the local library, a community resource widely available in Australia Sydney. She reported feeling less isolated and more confident in her interactions with teachers and other parents.</w:t>
      </w:r>
    </w:p>
    <w:p>
      <w:pPr>
        <w:numPr>
          <w:ilvl w:val="0"/>
          <w:numId w:val="1003"/>
        </w:numPr>
        <w:pStyle w:val="Compact"/>
      </w:pPr>
      <w:r>
        <w:t xml:space="preserve">Mental Health Stability:</w:t>
      </w:r>
    </w:p>
    <w:p>
      <w:pPr>
        <w:numPr>
          <w:ilvl w:val="0"/>
          <w:numId w:val="1000"/>
        </w:numPr>
        <w:pStyle w:val="Compact"/>
      </w:pPr>
      <w:r>
        <w:t xml:space="preserve">Raj’s anxiety levels decreased as he secured part-time employment through a program supported by the social worker. Both parents reported feeling more empowered to advocate for their children’s needs.</w:t>
      </w:r>
    </w:p>
    <w:p>
      <w:pPr>
        <w:pStyle w:val="FirstParagraph"/>
      </w:pPr>
      <w:r>
        <w:t xml:space="preserve">"</w:t>
      </w:r>
    </w:p>
    <w:bookmarkEnd w:id="28"/>
    <w:bookmarkStart w:id="29" w:name="X112cda451a0658bb8473c11d4930e7109a27bfe"/>
    <w:p>
      <w:pPr>
        <w:pStyle w:val="Heading2"/>
      </w:pPr>
      <w:r>
        <w:t xml:space="preserve">H6. Challenges Specific to the Australia Sydney Context</w:t>
      </w:r>
    </w:p>
    <w:p>
      <w:pPr>
        <w:pStyle w:val="FirstParagraph"/>
      </w:pPr>
      <w:r>
        <w:t xml:space="preserve">"</w:t>
      </w:r>
      <w:r>
        <w:t xml:space="preserve"> </w:t>
      </w:r>
      <w:r>
        <w:t xml:space="preserve">Despite positive outcomes, several challenges remained unique to operating in Australia Sydney:</w:t>
      </w:r>
    </w:p>
    <w:p>
      <w:pPr>
        <w:numPr>
          <w:ilvl w:val="0"/>
          <w:numId w:val="1004"/>
        </w:numPr>
        <w:pStyle w:val="Compact"/>
      </w:pPr>
      <w:r>
        <w:rPr>
          <w:bCs/>
          <w:b/>
        </w:rPr>
        <w:t xml:space="preserve">Resource Scarcity:</w:t>
      </w:r>
      <w:r>
        <w:t xml:space="preserve"> </w:t>
      </w:r>
      <w:r>
        <w:t xml:space="preserve">The demand for affordable housing and mental health services in Sydney outstrips supply. The social worker had to spend significant time on waitlisting management and advocating for priority access.</w:t>
      </w:r>
    </w:p>
    <w:p>
      <w:pPr>
        <w:numPr>
          <w:ilvl w:val="0"/>
          <w:numId w:val="1004"/>
        </w:numPr>
        <w:pStyle w:val="Compact"/>
      </w:pPr>
      <w:r>
        <w:rPr>
          <w:bCs/>
          <w:b/>
        </w:rPr>
        <w:t xml:space="preserve">Diversity Management:</w:t>
      </w:r>
      <w:r>
        <w:t xml:space="preserve"> </w:t>
      </w:r>
      <w:r>
        <w:t xml:space="preserve">Sydney’s multicultural nature means that service providers must cater to hundreds of languages and cultural backgrounds. Ensuring that the Patel family received culturally appropriate care required constant navigation of complex referral pathways.</w:t>
      </w:r>
    </w:p>
    <w:p>
      <w:pPr>
        <w:numPr>
          <w:ilvl w:val="0"/>
          <w:numId w:val="1004"/>
        </w:numPr>
        <w:pStyle w:val="Compact"/>
      </w:pPr>
      <w:r>
        <w:rPr>
          <w:bCs/>
          <w:b/>
        </w:rPr>
        <w:t xml:space="preserve">Bureaucratic Complexity:</w:t>
      </w:r>
      <w:r>
        <w:t xml:space="preserve"> </w:t>
      </w:r>
      <w:r>
        <w:t xml:space="preserve">Navigating the overlapping jurisdictions of Federal (Department of Human Services) and State (NSW Government) agencies requires a high level of administrative expertise from social workers.</w:t>
      </w:r>
    </w:p>
    <w:p>
      <w:pPr>
        <w:pStyle w:val="FirstParagraph"/>
      </w:pPr>
      <w:r>
        <w:t xml:space="preserve">"</w:t>
      </w:r>
    </w:p>
    <w:bookmarkEnd w:id="29"/>
    <w:bookmarkStart w:id="31" w:name="h7.-conclusion-and-recommendations"/>
    <w:p>
      <w:pPr>
        <w:pStyle w:val="Heading2"/>
      </w:pPr>
      <w:r>
        <w:t xml:space="preserve">H7. Conclusion and Recommendations</w:t>
      </w:r>
    </w:p>
    <w:p>
      <w:pPr>
        <w:pStyle w:val="FirstParagraph"/>
      </w:pPr>
      <w:r>
        <w:t xml:space="preserve">"</w:t>
      </w:r>
      <w:r>
        <w:t xml:space="preserve"> </w:t>
      </w:r>
      <w:r>
        <w:t xml:space="preserve">This case study demonstrates that effective social work in Australia Sydney requires more than just clinical skills; it demands strong advocacy, cultural competency, and systemic navigation abilities. The social worker played a pivotal role as a bridge between the Patel family and the complex web of services available in Sydney.</w:t>
      </w:r>
    </w:p>
    <w:p>
      <w:pPr>
        <w:pStyle w:val="BodyText"/>
      </w:pPr>
      <w:r>
        <w:t xml:space="preserve">It is recommended that future cases involving migrant families in Australia prioritize early intervention to prevent crises such as eviction or educational disengagement. Furthermore, there is a need for increased funding for bilingual support services across all suburbs of Sydney to reduce barriers for non-English speaking residents.</w:t>
      </w:r>
    </w:p>
    <w:bookmarkStart w:id="30" w:name="key-takeaway"/>
    <w:p>
      <w:pPr>
        <w:pStyle w:val="Heading3"/>
      </w:pPr>
      <w:r>
        <w:t xml:space="preserve">Key Takeaway</w:t>
      </w:r>
    </w:p>
    <w:p>
      <w:pPr>
        <w:pStyle w:val="FirstParagraph"/>
      </w:pPr>
      <w:r>
        <w:t xml:space="preserve">"</w:t>
      </w:r>
    </w:p>
    <w:p>
      <w:pPr>
        <w:pStyle w:val="BodyText"/>
      </w:pPr>
      <w:r>
        <w:t xml:space="preserve">The role of the social worker in Australia Sydney is not merely reactive but fundamentally proactive. By addressing housing, education, and mental health simultaneously, and by leveraging the unique multicultural fabric of Sydney communities, social workers can drive sustainable change for vulnerable populations.</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Community Integration and Support in Australia Sydney</dc:title>
  <dc:creator/>
  <dc:language>en</dc:language>
  <cp:keywords/>
  <dcterms:created xsi:type="dcterms:W3CDTF">2026-07-29T07:09:55Z</dcterms:created>
  <dcterms:modified xsi:type="dcterms:W3CDTF">2026-07-29T07:09:55Z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