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Canada</w:t>
      </w:r>
      <w:r>
        <w:t xml:space="preserve"> </w:t>
      </w:r>
      <w:r>
        <w:t xml:space="preserve">Toronto</w:t>
      </w:r>
    </w:p>
    <w:bookmarkStart w:id="32" w:name="Xe991a746d29f8b8c101517da8c11a1225e396a4"/>
    <w:p>
      <w:pPr>
        <w:pStyle w:val="Heading1"/>
      </w:pPr>
      <w:r>
        <w:t xml:space="preserve">A Comprehensive Case Study of Social Work Intervention in Canada Toronto</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Human Services / Child and Family Welfare</w:t>
      </w:r>
      <w:r>
        <w:br/>
      </w:r>
      <w:r>
        <w:rPr>
          <w:bCs/>
          <w:b/>
        </w:rPr>
        <w:t xml:space="preserve">Jurisdiction:</w:t>
      </w:r>
      <w:r>
        <w:t xml:space="preserve"> </w:t>
      </w:r>
      <w:r>
        <w:t xml:space="preserve">Canada Toronto</w:t>
      </w:r>
    </w:p>
    <w:bookmarkStart w:id="20" w:name="executive-summary"/>
    <w:p>
      <w:pPr>
        <w:pStyle w:val="Heading2"/>
      </w:pPr>
      <w:r>
        <w:t xml:space="preserve">1. Executive Summary</w:t>
      </w:r>
    </w:p>
    <w:p>
      <w:pPr>
        <w:pStyle w:val="FirstParagraph"/>
      </w:pPr>
      <w:r>
        <w:t xml:space="preserve">This document presents a detailed analysis of a complex social work intervention within the diverse urban landscape of Canada Toronto. The primary objective is to examine how professional standards, cultural competency, and systemic advocacy intersect when addressing multidimensional poverty and family instability. By focusing on the unique socio-economic demographics of Canada Toronto, this</w:t>
      </w:r>
      <w:r>
        <w:t xml:space="preserve"> </w:t>
      </w:r>
      <w:r>
        <w:rPr>
          <w:iCs/>
          <w:i/>
        </w:rPr>
        <w:t xml:space="preserve">case study</w:t>
      </w:r>
      <w:r>
        <w:t xml:space="preserve"> </w:t>
      </w:r>
      <w:r>
        <w:t xml:space="preserve">highlights the critical role that a licensed</w:t>
      </w:r>
      <w:r>
        <w:t xml:space="preserve"> </w:t>
      </w:r>
      <w:r>
        <w:rPr>
          <w:bCs/>
          <w:b/>
        </w:rPr>
        <w:t xml:space="preserve">Social Worker</w:t>
      </w:r>
      <w:r>
        <w:t xml:space="preserve"> </w:t>
      </w:r>
      <w:r>
        <w:t xml:space="preserve">plays in navigating municipal resources, provincial regulations (Ontario), and federal support systems.</w:t>
      </w:r>
    </w:p>
    <w:bookmarkEnd w:id="20"/>
    <w:bookmarkStart w:id="21" w:name="case-background-and-client-profile"/>
    <w:p>
      <w:pPr>
        <w:pStyle w:val="Heading2"/>
      </w:pPr>
      <w:r>
        <w:t xml:space="preserve">2. Case Background and Client Profile</w:t>
      </w:r>
    </w:p>
    <w:p>
      <w:pPr>
        <w:pStyle w:val="FirstParagraph"/>
      </w:pPr>
      <w:r>
        <w:t xml:space="preserve">The client, referred to here as "Ms. A," is a 34-year-old single mother of two young children (ages 5 and 7). Ms. A recently migrated from Southeast Asia three years ago through a skilled worker program but faced significant underemployment due to credential non-recognition issues common among immigrants in</w:t>
      </w:r>
      <w:r>
        <w:t xml:space="preserve"> </w:t>
      </w:r>
      <w:r>
        <w:rPr>
          <w:bCs/>
          <w:b/>
        </w:rPr>
        <w:t xml:space="preserve">Canada Toronto</w:t>
      </w:r>
      <w:r>
        <w:t xml:space="preserve">. She resides in the downtown core, an area characterized by high housing costs yet also abundant social services.</w:t>
      </w:r>
    </w:p>
    <w:p>
      <w:pPr>
        <w:pStyle w:val="BodyText"/>
      </w:pPr>
      <w:r>
        <w:rPr>
          <w:bCs/>
          <w:b/>
        </w:rPr>
        <w:t xml:space="preserve">Presenting Problems:</w:t>
      </w:r>
    </w:p>
    <w:p>
      <w:pPr>
        <w:numPr>
          <w:ilvl w:val="0"/>
          <w:numId w:val="1001"/>
        </w:numPr>
        <w:pStyle w:val="Compact"/>
      </w:pPr>
      <w:r>
        <w:rPr>
          <w:iCs/>
          <w:i/>
        </w:rPr>
        <w:t xml:space="preserve">Housing Insecurity:</w:t>
      </w:r>
      <w:r>
        <w:t xml:space="preserve"> </w:t>
      </w:r>
      <w:r>
        <w:t xml:space="preserve">Ms. A is at risk of eviction due to unpaid rent stemming from temporary unemployment after a layoff.</w:t>
      </w:r>
    </w:p>
    <w:p>
      <w:pPr>
        <w:numPr>
          <w:ilvl w:val="0"/>
          <w:numId w:val="1001"/>
        </w:numPr>
        <w:pStyle w:val="Compact"/>
      </w:pPr>
      <w:r>
        <w:rPr>
          <w:iCs/>
          <w:i/>
        </w:rPr>
        <w:t xml:space="preserve">Mental Health:</w:t>
      </w:r>
      <w:r>
        <w:t xml:space="preserve"> </w:t>
      </w:r>
      <w:r>
        <w:t xml:space="preserve">Symptoms of anxiety and depression linked to isolation and financial stress.</w:t>
      </w:r>
    </w:p>
    <w:p>
      <w:pPr>
        <w:numPr>
          <w:ilvl w:val="0"/>
          <w:numId w:val="1001"/>
        </w:numPr>
        <w:pStyle w:val="Compact"/>
      </w:pPr>
      <w:r>
        <w:rPr>
          <w:iCs/>
          <w:i/>
        </w:rPr>
        <w:t xml:space="preserve">Educational Disruption:</w:t>
      </w:r>
      <w:r>
        <w:t xml:space="preserve"> </w:t>
      </w:r>
      <w:r>
        <w:t xml:space="preserve">The older child has begun exhibiting behavioral issues at school due to housing instability fears.</w:t>
      </w:r>
    </w:p>
    <w:bookmarkEnd w:id="21"/>
    <w:bookmarkStart w:id="24" w:name="professional-assessment-framework"/>
    <w:p>
      <w:pPr>
        <w:pStyle w:val="Heading2"/>
      </w:pPr>
      <w:r>
        <w:t xml:space="preserve">3. Professional Assessment Framework</w:t>
      </w:r>
    </w:p>
    <w:p>
      <w:pPr>
        <w:pStyle w:val="FirstParagraph"/>
      </w:pPr>
      <w:r>
        <w:t xml:space="preserve">The assigned</w:t>
      </w:r>
      <w:r>
        <w:t xml:space="preserve"> </w:t>
      </w:r>
      <w:r>
        <w:rPr>
          <w:bCs/>
          <w:b/>
        </w:rPr>
        <w:t xml:space="preserve">Social Worker</w:t>
      </w:r>
      <w:r>
        <w:t xml:space="preserve">, operating under the regulatory framework of the College of Social Workers and Social Service Workers (CSWSSW) in Ontario, conducted a biopsychos ecological assessment. This approach is vital in a Canadian context, where social determinants of health are deeply intertwined with immigration status and economic policy.</w:t>
      </w:r>
    </w:p>
    <w:bookmarkStart w:id="22" w:name="strengths-based-perspective"/>
    <w:p>
      <w:pPr>
        <w:pStyle w:val="Heading3"/>
      </w:pPr>
      <w:r>
        <w:t xml:space="preserve">3.1 Strengths-Based Perspective</w:t>
      </w:r>
    </w:p>
    <w:p>
      <w:pPr>
        <w:pStyle w:val="FirstParagraph"/>
      </w:pPr>
      <w:r>
        <w:t xml:space="preserve">Rather than focusing solely on deficits, the assessment identified Ms. A’s strong educational background, her fluency in two languages, and her resilient support network of extended family members living in adjacent neighborhoods within</w:t>
      </w:r>
      <w:r>
        <w:t xml:space="preserve"> </w:t>
      </w:r>
      <w:r>
        <w:rPr>
          <w:bCs/>
          <w:b/>
        </w:rPr>
        <w:t xml:space="preserve">Canada Toronto</w:t>
      </w:r>
      <w:r>
        <w:t xml:space="preserve">. These strengths were leveraged to build a foundation for empowerment rather than dependency.</w:t>
      </w:r>
    </w:p>
    <w:bookmarkEnd w:id="22"/>
    <w:bookmarkStart w:id="23" w:name="cultural-competency-considerations"/>
    <w:p>
      <w:pPr>
        <w:pStyle w:val="Heading3"/>
      </w:pPr>
      <w:r>
        <w:t xml:space="preserve">3.2 Cultural Competency Considerations</w:t>
      </w:r>
    </w:p>
    <w:p>
      <w:pPr>
        <w:pStyle w:val="FirstParagraph"/>
      </w:pPr>
      <w:r>
        <w:t xml:space="preserve">In the multicultural hub that is Canada Toronto, it is imperative for any practicing</w:t>
      </w:r>
      <w:r>
        <w:t xml:space="preserve"> </w:t>
      </w:r>
      <w:r>
        <w:rPr>
          <w:iCs/>
          <w:i/>
        </w:rPr>
        <w:t xml:space="preserve">Social Worker</w:t>
      </w:r>
      <w:r>
        <w:t xml:space="preserve"> </w:t>
      </w:r>
      <w:r>
        <w:t xml:space="preserve">to understand the specific cultural nuances of their clients. The assessment included a review of culturally sensitive coping mechanisms and engaged an interpreter to ensure accurate communication regarding legal rights and service access, respecting Ms. A’s linguistic preferences.</w:t>
      </w:r>
    </w:p>
    <w:bookmarkEnd w:id="23"/>
    <w:bookmarkEnd w:id="24"/>
    <w:bookmarkStart w:id="28" w:name="intervention-strategy"/>
    <w:p>
      <w:pPr>
        <w:pStyle w:val="Heading2"/>
      </w:pPr>
      <w:r>
        <w:t xml:space="preserve">4. Intervention Strategy</w:t>
      </w:r>
    </w:p>
    <w:p>
      <w:pPr>
        <w:pStyle w:val="FirstParagraph"/>
      </w:pPr>
      <w:r>
        <w:t xml:space="preserve">The intervention plan was multi-phased, designed to address immediate crises while fostering long-term stability. This strategy reflects the holistic mandate of social work in</w:t>
      </w:r>
      <w:r>
        <w:t xml:space="preserve"> </w:t>
      </w:r>
      <w:r>
        <w:rPr>
          <w:bCs/>
          <w:b/>
        </w:rPr>
        <w:t xml:space="preserve">Canada Toronto</w:t>
      </w:r>
      <w:r>
        <w:t xml:space="preserve">, where municipal services (such as Toronto Community Housing) must be coordinated with provincial benefits (Ontario Works) and federal immigrant support programs.</w:t>
      </w:r>
    </w:p>
    <w:bookmarkStart w:id="25" w:name="phase-1-crisis-stabilization"/>
    <w:p>
      <w:pPr>
        <w:pStyle w:val="Heading3"/>
      </w:pPr>
      <w:r>
        <w:t xml:space="preserve">Phase 1: Crisis Stabilization</w:t>
      </w:r>
    </w:p>
    <w:p>
      <w:pPr>
        <w:pStyle w:val="FirstParagraph"/>
      </w:pPr>
      <w:r>
        <w:t xml:space="preserve">The immediate priority was preventing homelessness. The</w:t>
      </w:r>
      <w:r>
        <w:t xml:space="preserve"> </w:t>
      </w:r>
      <w:r>
        <w:rPr>
          <w:bCs/>
          <w:b/>
        </w:rPr>
        <w:t xml:space="preserve">Social Worker</w:t>
      </w:r>
      <w:r>
        <w:t xml:space="preserve"> </w:t>
      </w:r>
      <w:r>
        <w:t xml:space="preserve">collaborated with a housing retention specialist at a local non-profit agency. They applied for emergency rental assistance through the City of Toronto’s Emergency Shelter, Support and Housing Administration (ESSHA) fund. Simultaneously, the social worker connected Ms. A to food banks and community centers that offered culturally specific foods, addressing immediate nutritional needs while reducing stigma.</w:t>
      </w:r>
    </w:p>
    <w:bookmarkEnd w:id="25"/>
    <w:bookmarkStart w:id="26" w:name="phase-2-economic-empowerment"/>
    <w:p>
      <w:pPr>
        <w:pStyle w:val="Heading3"/>
      </w:pPr>
      <w:r>
        <w:t xml:space="preserve">Phase 2: Economic Empowerment</w:t>
      </w:r>
    </w:p>
    <w:p>
      <w:pPr>
        <w:pStyle w:val="FirstParagraph"/>
      </w:pPr>
      <w:r>
        <w:t xml:space="preserve">To address the root cause of financial instability, the intervention focused on employment. The social worker referred Ms. A to a settlement agency specializing in credential assessment for newcomers in Canada Toronto. They also facilitated enrollment in a government-funded upskilling program aimed at tech support roles, aligning with local labor market needs.</w:t>
      </w:r>
    </w:p>
    <w:bookmarkEnd w:id="26"/>
    <w:bookmarkStart w:id="27" w:name="phase-3-psychosocial-support"/>
    <w:p>
      <w:pPr>
        <w:pStyle w:val="Heading3"/>
      </w:pPr>
      <w:r>
        <w:t xml:space="preserve">Phase 3: Psychosocial Support</w:t>
      </w:r>
    </w:p>
    <w:p>
      <w:pPr>
        <w:pStyle w:val="FirstParagraph"/>
      </w:pPr>
      <w:r>
        <w:t xml:space="preserve">Mental health was addressed through referral to a subsidized counseling service that offered trauma-informed care. The social worker facilitated support group attendance for immigrant mothers in the area, reducing isolation and building peer networks. For the children, school-based social work services were engaged to implement behavior intervention plans.</w:t>
      </w:r>
    </w:p>
    <w:bookmarkEnd w:id="27"/>
    <w:bookmarkEnd w:id="28"/>
    <w:bookmarkStart w:id="29" w:name="challenges-and-ethical-dilemmas"/>
    <w:p>
      <w:pPr>
        <w:pStyle w:val="Heading2"/>
      </w:pPr>
      <w:r>
        <w:t xml:space="preserve">5. Challenges and Ethical Dilemmas</w:t>
      </w:r>
    </w:p>
    <w:p>
      <w:pPr>
        <w:pStyle w:val="FirstParagraph"/>
      </w:pPr>
      <w:r>
        <w:t xml:space="preserve">The case presented several challenges typical of social work in a high-cost urban center like Canada Toronto:</w:t>
      </w:r>
    </w:p>
    <w:p>
      <w:pPr>
        <w:numPr>
          <w:ilvl w:val="0"/>
          <w:numId w:val="1002"/>
        </w:numPr>
        <w:pStyle w:val="Compact"/>
      </w:pPr>
      <w:r>
        <w:rPr>
          <w:bCs/>
          <w:b/>
        </w:rPr>
        <w:t xml:space="preserve">Bureaucratic Complexity:</w:t>
      </w:r>
      <w:r>
        <w:t xml:space="preserve"> Navigating the overlapping jurisdictions of municipal, provincial, and federal agencies often resulted in delays. The</w:t>
      </w:r>
      <w:r>
        <w:t xml:space="preserve"> </w:t>
      </w:r>
      <w:r>
        <w:rPr>
          <w:iCs/>
          <w:i/>
        </w:rPr>
        <w:t xml:space="preserve">Social Worker</w:t>
      </w:r>
      <w:r>
        <w:t xml:space="preserve"> </w:t>
      </w:r>
      <w:r>
        <w:t xml:space="preserve">had to act as an intense advocate, repeatedly following up with caseworkers to expedite housing payments.</w:t>
      </w:r>
    </w:p>
    <w:p>
      <w:pPr>
        <w:numPr>
          <w:ilvl w:val="0"/>
          <w:numId w:val="1002"/>
        </w:numPr>
        <w:pStyle w:val="Compact"/>
      </w:pPr>
      <w:r>
        <w:rPr>
          <w:bCs/>
          <w:b/>
        </w:rPr>
        <w:t xml:space="preserve">Housing Market Dynamics:</w:t>
      </w:r>
    </w:p>
    <w:p>
      <w:pPr>
        <w:numPr>
          <w:ilvl w:val="0"/>
          <w:numId w:val="1002"/>
        </w:numPr>
        <w:pStyle w:val="Compact"/>
      </w:pPr>
      <w:r>
        <w:t xml:space="preserve">Boundary Management:</w:t>
      </w:r>
    </w:p>
    <w:bookmarkEnd w:id="29"/>
    <w:bookmarkStart w:id="30" w:name="outcomes-and-evaluation"/>
    <w:p>
      <w:pPr>
        <w:pStyle w:val="Heading2"/>
      </w:pPr>
      <w:r>
        <w:t xml:space="preserve">6. Outcomes and Evaluation</w:t>
      </w:r>
    </w:p>
    <w:p>
      <w:pPr>
        <w:pStyle w:val="FirstParagraph"/>
      </w:pPr>
      <w:r>
        <w:t xml:space="preserve">Six months post-intervention, significant progress was observed:</w:t>
      </w:r>
    </w:p>
    <w:p>
      <w:pPr>
        <w:numPr>
          <w:ilvl w:val="0"/>
          <w:numId w:val="1003"/>
        </w:numPr>
        <w:pStyle w:val="Compact"/>
      </w:pPr>
      <w:r>
        <w:rPr>
          <w:bCs/>
          <w:b/>
        </w:rPr>
        <w:t xml:space="preserve">Housing Stability:</w:t>
      </w:r>
      <w:r>
        <w:t xml:space="preserve"> Ms. A secured a 15-month lease extension through emergency funds and has since moved into a subsidized housing unit listed on the Toronto waitlist.</w:t>
      </w:r>
    </w:p>
    <w:p>
      <w:pPr>
        <w:numPr>
          <w:ilvl w:val="0"/>
          <w:numId w:val="1003"/>
        </w:numPr>
        <w:pStyle w:val="Compact"/>
      </w:pPr>
      <w:r>
        <w:rPr>
          <w:bCs/>
          <w:b/>
        </w:rPr>
        <w:t xml:space="preserve">Economic Status:</w:t>
      </w:r>
      <w:r>
        <w:t xml:space="preserve"> Ms. A obtained certification for her prior qualifications and is now employed part-time, with plans to transition to full-time within six months.</w:t>
      </w:r>
    </w:p>
    <w:p>
      <w:pPr>
        <w:numPr>
          <w:ilvl w:val="0"/>
          <w:numId w:val="1003"/>
        </w:numPr>
        <w:pStyle w:val="Compact"/>
      </w:pPr>
      <w:r>
        <w:rPr>
          <w:iCs/>
          <w:i/>
        </w:rPr>
        <w:t xml:space="preserve">Psychosocial Well-being:</w:t>
      </w:r>
      <w:r>
        <w:t xml:space="preserve"> Reports from school counselors indicate improved behavior in the children. Ms. A reports decreased anxiety levels and active participation in the local immigrant support group.</w:t>
      </w:r>
    </w:p>
    <w:bookmarkEnd w:id="30"/>
    <w:bookmarkStart w:id="31" w:name="conclusion-and-recommendations"/>
    <w:p>
      <w:pPr>
        <w:pStyle w:val="Heading2"/>
      </w:pPr>
      <w:r>
        <w:t xml:space="preserve">7. Conclusion and Recommendations</w:t>
      </w:r>
    </w:p>
    <w:p>
      <w:pPr>
        <w:pStyle w:val="FirstParagraph"/>
      </w:pPr>
      <w:r>
        <w:t xml:space="preserve">This case study illustrates that effective social work practice in Canada Toronto requires more than clinical skill; it demands systemic navigation, cultural humility, and relentless advocacy. The success of Ms. A’s intervention underscores the importance of integrated service delivery models.</w:t>
      </w:r>
    </w:p>
    <w:p>
      <w:pPr>
        <w:pStyle w:val="BodyText"/>
      </w:pPr>
      <w:r>
        <w:rPr>
          <w:bCs/>
          <w:b/>
        </w:rPr>
        <w:t xml:space="preserve">Recommendations for Practice:</w:t>
      </w:r>
    </w:p>
    <w:p>
      <w:pPr>
        <w:numPr>
          <w:ilvl w:val="0"/>
          <w:numId w:val="1004"/>
        </w:numPr>
        <w:pStyle w:val="Compact"/>
      </w:pPr>
      <w:r>
        <w:rPr>
          <w:iCs/>
          <w:i/>
        </w:rPr>
        <w:t xml:space="preserve">Social Worker</w:t>
      </w:r>
      <w:r>
        <w:t xml:space="preserve"> practitioners in dense urban centers should maintain updated directories of niche community resources, particularly those serving diverse immigrant populations.</w:t>
      </w:r>
    </w:p>
    <w:p>
      <w:pPr>
        <w:numPr>
          <w:ilvl w:val="0"/>
          <w:numId w:val="1004"/>
        </w:numPr>
        <w:pStyle w:val="Compact"/>
      </w:pPr>
      <w:r>
        <w:t xml:space="preserve">Funding bodies and municipal planners in Canada Toronto must streamline application processes for emergency housing aid to reduce the administrative burden on both clients and social workers.</w:t>
      </w:r>
    </w:p>
    <w:p>
      <w:pPr>
        <w:numPr>
          <w:ilvl w:val="0"/>
          <w:numId w:val="1004"/>
        </w:numPr>
        <w:pStyle w:val="Compact"/>
      </w:pPr>
      <w:r>
        <w:t xml:space="preserve">Continuous professional development on the specific intersection of immigration law and social services is essential for Canadian practitioners to provide competent, holistic care.</w:t>
      </w:r>
    </w:p>
    <w:p>
      <w:pPr>
        <w:pStyle w:val="FirstParagraph"/>
      </w:pPr>
      <w:r>
        <w:t xml:space="preserve">In conclusion, this case study serves as a testament to the transformative power of dedicated social work. By addressing the immediate needs while tackling systemic barriers, a</w:t>
      </w:r>
      <w:r>
        <w:t xml:space="preserve"> </w:t>
      </w:r>
      <w:r>
        <w:rPr>
          <w:bCs/>
          <w:b/>
        </w:rPr>
        <w:t xml:space="preserve">Social Worker</w:t>
      </w:r>
      <w:r>
        <w:t xml:space="preserve"> </w:t>
      </w:r>
      <w:r>
        <w:t xml:space="preserve">can significantly alter the trajectory of vulnerable families within the dynamic environment of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Practice in Canada Toronto</dc:title>
  <dc:creator/>
  <dc:language>en</dc:language>
  <cp:keywords/>
  <dcterms:created xsi:type="dcterms:W3CDTF">2026-07-29T14:55:04Z</dcterms:created>
  <dcterms:modified xsi:type="dcterms:W3CDTF">2026-07-29T14:55:04Z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