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Colombia</w:t>
      </w:r>
      <w:r>
        <w:t xml:space="preserve"> </w:t>
      </w:r>
      <w:r>
        <w:t xml:space="preserve">Bogotá</w:t>
      </w:r>
    </w:p>
    <w:bookmarkStart w:id="30" w:name="X5ea2ddcba836793109a0f6f29a870850d049793"/>
    <w:p>
      <w:pPr>
        <w:pStyle w:val="Heading1"/>
      </w:pPr>
      <w:r>
        <w:t xml:space="preserve">Navigating Complexity: A Case Study of Social Work in Colombia Bogotá</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Colombia Bogotá</w:t>
      </w:r>
      <w:r>
        <w:br/>
      </w:r>
      <w:r>
        <w:rPr>
          <w:bCs/>
          <w:b/>
        </w:rPr>
        <w:t xml:space="preserve">Focal Point:</w:t>
      </w:r>
      <w:r>
        <w:t xml:space="preserve">The Social Worker</w:t>
      </w:r>
    </w:p>
    <w:bookmarkStart w:id="20" w:name="introduction-and-contextual-background"/>
    <w:p>
      <w:pPr>
        <w:pStyle w:val="Heading2"/>
      </w:pPr>
      <w:r>
        <w:t xml:space="preserve">1. Introduction and Contextual Background</w:t>
      </w:r>
    </w:p>
    <w:p>
      <w:pPr>
        <w:pStyle w:val="FirstParagraph"/>
      </w:pPr>
      <w:r>
        <w:t xml:space="preserve">Bogotá, the capital of Colombia, is a megacity characterized by stark contrasts. While it is an economic engine and a cultural hub for Latin America, it simultaneously faces profound challenges related to inequality, displacement due to internal conflict, and urban marginalization. In this volatile yet dynamic environment, the</w:t>
      </w:r>
      <w:r>
        <w:t xml:space="preserve"> </w:t>
      </w:r>
      <w:r>
        <w:rPr>
          <w:bCs/>
          <w:b/>
        </w:rPr>
        <w:t xml:space="preserve">Social Worker</w:t>
      </w:r>
      <w:r>
        <w:t xml:space="preserve"> </w:t>
      </w:r>
      <w:r>
        <w:t xml:space="preserve">emerges not merely as a service provider but as a critical agent of structural change. This case study examines the multifaceted role of the social worker within</w:t>
      </w:r>
      <w:r>
        <w:t xml:space="preserve"> </w:t>
      </w:r>
      <w:r>
        <w:rPr>
          <w:bCs/>
          <w:b/>
        </w:rPr>
        <w:t xml:space="preserve">Colombia Bogotá</w:t>
      </w:r>
      <w:r>
        <w:t xml:space="preserve">, analyzing how professionals navigate legal frameworks, community trauma, and resource scarcity to foster social cohesion.</w:t>
      </w:r>
    </w:p>
    <w:p>
      <w:pPr>
        <w:pStyle w:val="BodyText"/>
      </w:pPr>
      <w:r>
        <w:t xml:space="preserve">The urban landscape of</w:t>
      </w:r>
      <w:r>
        <w:t xml:space="preserve"> </w:t>
      </w:r>
      <w:r>
        <w:rPr>
          <w:bCs/>
          <w:b/>
        </w:rPr>
        <w:t xml:space="preserve">Colombia Bogotá</w:t>
      </w:r>
      <w:r>
        <w:t xml:space="preserve"> </w:t>
      </w:r>
      <w:r>
        <w:t xml:space="preserve">is segmented by geography and class. The northwestern comunas often suffer from historical state abandonment, while central areas grapple with gentrification and informal commerce regulation. It is in these intersections of policy and lived reality that the social worker operates, bridging the gap between institutional mandates and community needs.</w:t>
      </w:r>
    </w:p>
    <w:bookmarkEnd w:id="20"/>
    <w:bookmarkStart w:id="22" w:name="X110ea0d3bf50747db7564aa9747fca1c2df208e"/>
    <w:p>
      <w:pPr>
        <w:pStyle w:val="Heading2"/>
      </w:pPr>
      <w:r>
        <w:t xml:space="preserve">2. Case Profile: The "Comuna 13" Intervention Model</w:t>
      </w:r>
    </w:p>
    <w:p>
      <w:pPr>
        <w:pStyle w:val="FirstParagraph"/>
      </w:pPr>
      <w:r>
        <w:rPr>
          <w:bCs/>
          <w:b/>
        </w:rPr>
        <w:t xml:space="preserve">Case Identifier:</w:t>
      </w:r>
      <w:r>
        <w:t xml:space="preserve"> </w:t>
      </w:r>
      <w:r>
        <w:t xml:space="preserve">SW-BOG-2023-04</w:t>
      </w:r>
      <w:r>
        <w:br/>
      </w:r>
      <w:r>
        <w:rPr>
          <w:bCs/>
          <w:b/>
        </w:rPr>
        <w:t xml:space="preserve">Demographic Focus:</w:t>
      </w:r>
      <w:r>
        <w:t xml:space="preserve"> </w:t>
      </w:r>
      <w:r>
        <w:t xml:space="preserve">Adolescent youth at risk of recruitment and elderly displaced persons.</w:t>
      </w:r>
      <w:r>
        <w:br/>
      </w:r>
      <w:r>
        <w:rPr>
          <w:bCs/>
          <w:b/>
        </w:rPr>
        <w:t xml:space="preserve">Sector:</w:t>
      </w:r>
      <w:r>
        <w:t xml:space="preserve"> </w:t>
      </w:r>
      <w:r>
        <w:t xml:space="preserve">Urban Community Development.</w:t>
      </w:r>
    </w:p>
    <w:p>
      <w:pPr>
        <w:pStyle w:val="BodyText"/>
      </w:pPr>
      <w:r>
        <w:t xml:space="preserve">The primary focus of this study is a longitudinal intervention led by a multidisciplinary team including social workers in Comuna 13, a neighborhood historically associated with violence but currently undergoing significant transformation. The case highlights the dual responsibility of the</w:t>
      </w:r>
      <w:r>
        <w:t xml:space="preserve"> </w:t>
      </w:r>
      <w:r>
        <w:rPr>
          <w:bCs/>
          <w:b/>
        </w:rPr>
        <w:t xml:space="preserve">Social Worker</w:t>
      </w:r>
      <w:r>
        <w:t xml:space="preserve">: providing immediate psychosocial support while engaging in long-term community organizing.</w:t>
      </w:r>
    </w:p>
    <w:bookmarkStart w:id="21" w:name="X04d7c62cd5f1369f08fb379efb036eecad6d824"/>
    <w:p>
      <w:pPr>
        <w:pStyle w:val="Heading3"/>
      </w:pPr>
      <w:r>
        <w:t xml:space="preserve">2.1 Initial Assessment and Vulnerability Mapping</w:t>
      </w:r>
    </w:p>
    <w:p>
      <w:pPr>
        <w:pStyle w:val="FirstParagraph"/>
      </w:pPr>
      <w:r>
        <w:t xml:space="preserve">Upon entry, the social workers conducted a comprehensive vulnerability assessment. In</w:t>
      </w:r>
      <w:r>
        <w:t xml:space="preserve"> </w:t>
      </w:r>
      <w:r>
        <w:rPr>
          <w:bCs/>
          <w:b/>
        </w:rPr>
        <w:t xml:space="preserve">Colombia Bogotá</w:t>
      </w:r>
      <w:r>
        <w:t xml:space="preserve">, this involves identifying households registered in the SISBEN (Sistema de Identificación de Beneficiarios) system, which categorizes citizens by socioeconomic status to determine eligibility for state aid. However, data often lags behind reality. The social worker’s role here is interpretive; they must verify if families are living below the poverty line despite being misclassified due to bureaucratic errors or fear of reporting income.</w:t>
      </w:r>
    </w:p>
    <w:p>
      <w:pPr>
        <w:pStyle w:val="BodyText"/>
      </w:pPr>
      <w:r>
        <w:t xml:space="preserve">The assessment revealed that 40% of the target population consisted of "second-generation" displaced persons—youth who were children during previous waves of violence but now face similar recruitment pressures from illegal armed groups. This demographic reality requires the social worker to adapt traditional casework methods to address intergenerational trauma.</w:t>
      </w:r>
    </w:p>
    <w:bookmarkEnd w:id="21"/>
    <w:bookmarkEnd w:id="22"/>
    <w:bookmarkStart w:id="26" w:name="X1aa74776de82247bd4dbd5490d9efd43fd88221"/>
    <w:p>
      <w:pPr>
        <w:pStyle w:val="Heading2"/>
      </w:pPr>
      <w:r>
        <w:t xml:space="preserve">3. Methodology: The Social Worker’s Toolkit in an Urban Setting</w:t>
      </w:r>
    </w:p>
    <w:p>
      <w:pPr>
        <w:pStyle w:val="FirstParagraph"/>
      </w:pPr>
      <w:r>
        <w:t xml:space="preserve">The intervention employed a mixed-methods approach, combining clinical social work with macro-level policy advocacy. The strategies utilized by the</w:t>
      </w:r>
      <w:r>
        <w:t xml:space="preserve"> </w:t>
      </w:r>
      <w:r>
        <w:rPr>
          <w:bCs/>
          <w:b/>
        </w:rPr>
        <w:t xml:space="preserve">Social Worker</w:t>
      </w:r>
      <w:r>
        <w:t xml:space="preserve"> </w:t>
      </w:r>
      <w:r>
        <w:t xml:space="preserve">in this context are distinct due to the specificities of life in</w:t>
      </w:r>
      <w:r>
        <w:t xml:space="preserve"> </w:t>
      </w:r>
      <w:r>
        <w:rPr>
          <w:bCs/>
          <w:b/>
        </w:rPr>
        <w:t xml:space="preserve">Colombia Bogotá</w:t>
      </w:r>
      <w:r>
        <w:t xml:space="preserve">.</w:t>
      </w:r>
    </w:p>
    <w:bookmarkStart w:id="23" w:name="X7988c313afb0437c602bd8e9c07c1d921b796e4"/>
    <w:p>
      <w:pPr>
        <w:pStyle w:val="Heading3"/>
      </w:pPr>
      <w:r>
        <w:t xml:space="preserve">3.1 Psychosocial Support and Trauma-Informed Care</w:t>
      </w:r>
    </w:p>
    <w:p>
      <w:pPr>
        <w:pStyle w:val="FirstParagraph"/>
      </w:pPr>
      <w:r>
        <w:t xml:space="preserve">In a city where exposure to violence is commonplace, mental health infrastructure is often overwhelmed. The social worker acts as the first line of defense in psychosocial care. This involves "escucha activa" (active listening) sessions designed to de-escalate crisis situations among youth facing recruitment threats. Unlike pure clinical therapy, this support is integrated into daily community activities, such as sports leagues and cultural workshops, ensuring that help-seeking behavior is normalized rather than stigmatized.</w:t>
      </w:r>
    </w:p>
    <w:bookmarkEnd w:id="23"/>
    <w:bookmarkStart w:id="24" w:name="navigating-the-legal-framework-ley-1098"/>
    <w:p>
      <w:pPr>
        <w:pStyle w:val="Heading3"/>
      </w:pPr>
      <w:r>
        <w:t xml:space="preserve">3.2 Navigating the Legal Framework: Ley 1098</w:t>
      </w:r>
    </w:p>
    <w:p>
      <w:pPr>
        <w:pStyle w:val="FirstParagraph"/>
      </w:pPr>
      <w:r>
        <w:t xml:space="preserve">A crucial aspect of the social worker’s practice in Colombia is the application of Ley 1098, the Code of Childhood and Adolescence. In</w:t>
      </w:r>
      <w:r>
        <w:t xml:space="preserve"> </w:t>
      </w:r>
      <w:r>
        <w:rPr>
          <w:bCs/>
          <w:b/>
        </w:rPr>
        <w:t xml:space="preserve">Colombia Bogotá</w:t>
      </w:r>
      <w:r>
        <w:t xml:space="preserve">, social workers frequently act as liaisons between families and family courts (Juzgados de Familia). They file reports regarding rights violations, such as labor exploitation or lack of school attendance. However, the legal system is often slow and intimidating for marginalized populations. The social worker must translate legal jargon into accessible language, empowering families to assert their rights without fear of retaliation from local power brokers.</w:t>
      </w:r>
    </w:p>
    <w:bookmarkEnd w:id="24"/>
    <w:bookmarkStart w:id="25" w:name="resource-brokerage-and-network-building"/>
    <w:p>
      <w:pPr>
        <w:pStyle w:val="Heading3"/>
      </w:pPr>
      <w:r>
        <w:t xml:space="preserve">3.3 Resource Brokerage and Network Building</w:t>
      </w:r>
    </w:p>
    <w:p>
      <w:pPr>
        <w:pStyle w:val="FirstParagraph"/>
      </w:pPr>
      <w:r>
        <w:t xml:space="preserve">The public sector in</w:t>
      </w:r>
      <w:r>
        <w:t xml:space="preserve"> </w:t>
      </w:r>
      <w:r>
        <w:rPr>
          <w:bCs/>
          <w:b/>
        </w:rPr>
        <w:t xml:space="preserve">Colombia Bogotá</w:t>
      </w:r>
      <w:r>
        <w:t xml:space="preserve">, while robust in policy, often struggles with implementation efficiency. Consequently, the social worker assumes the role of a resource broker. This involves mapping non-governmental organizations (NGOs), private corporate social responsibility initiatives, and international aid agencies operating within the city. By creating a "care network," the social worker ensures that families receive holistic support—ranging from food assistance to job training—rather than fragmented, one-off interventions.</w:t>
      </w:r>
    </w:p>
    <w:bookmarkEnd w:id="25"/>
    <w:bookmarkEnd w:id="26"/>
    <w:bookmarkStart w:id="27" w:name="challenges-and-ethical-dilemmas"/>
    <w:p>
      <w:pPr>
        <w:pStyle w:val="Heading2"/>
      </w:pPr>
      <w:r>
        <w:t xml:space="preserve">4. Challenges and Ethical Dilemmas</w:t>
      </w:r>
    </w:p>
    <w:p>
      <w:pPr>
        <w:pStyle w:val="FirstParagraph"/>
      </w:pPr>
      <w:r>
        <w:t xml:space="preserve">The practice of social work in this context is fraught with challenges. The sheer volume of need in</w:t>
      </w:r>
      <w:r>
        <w:t xml:space="preserve"> </w:t>
      </w:r>
      <w:r>
        <w:rPr>
          <w:bCs/>
          <w:b/>
        </w:rPr>
        <w:t xml:space="preserve">Colombia Bogotá</w:t>
      </w:r>
      <w:r>
        <w:t xml:space="preserve"> </w:t>
      </w:r>
      <w:r>
        <w:t xml:space="preserve">often leads to professional burnout among social workers, a phenomenon known as "secondary traumatic stress."</w:t>
      </w:r>
    </w:p>
    <w:p>
      <w:pPr>
        <w:pStyle w:val="BodyText"/>
      </w:pPr>
      <w:r>
        <w:rPr>
          <w:bCs/>
          <w:b/>
        </w:rPr>
        <w:t xml:space="preserve">Ethical Dilemma: Confidentiality vs. Security.</w:t>
      </w:r>
      <w:r>
        <w:br/>
      </w:r>
      <w:r>
        <w:t xml:space="preserve">In neighborhoods controlled by illicit economies, maintaining client confidentiality is difficult. If a social worker identifies that a minor is being targeted for recruitment, they have an ethical and legal duty to report this to authorities. However, doing so may expose the family to danger from armed groups who monitor community information flows. The social worker must therefore navigate complex security protocols, often coordinating with specialized protection units (Unidad para la Atención y Reparación) while maintaining trust within the community.</w:t>
      </w:r>
    </w:p>
    <w:p>
      <w:pPr>
        <w:pStyle w:val="BodyText"/>
      </w:pPr>
      <w:r>
        <w:rPr>
          <w:bCs/>
          <w:b/>
        </w:rPr>
        <w:t xml:space="preserve">Gentrification and Displacement.</w:t>
      </w:r>
      <w:r>
        <w:br/>
      </w:r>
      <w:r>
        <w:t xml:space="preserve">Another emerging challenge in</w:t>
      </w:r>
      <w:r>
        <w:t xml:space="preserve"> </w:t>
      </w:r>
      <w:r>
        <w:rPr>
          <w:bCs/>
          <w:b/>
        </w:rPr>
        <w:t xml:space="preserve">Colombia Bogotá</w:t>
      </w:r>
      <w:r>
        <w:t xml:space="preserve"> </w:t>
      </w:r>
      <w:r>
        <w:t xml:space="preserve">is urban renewal. As infrastructure improves in historic marginalized areas, property values rise, risking the displacement of long-term residents. Social workers are increasingly called upon to advocate for housing rights, ensuring that development does not erase the social fabric they have worked years to build.</w:t>
      </w:r>
    </w:p>
    <w:bookmarkEnd w:id="27"/>
    <w:bookmarkStart w:id="28" w:name="outcomes-and-impact-analysis"/>
    <w:p>
      <w:pPr>
        <w:pStyle w:val="Heading2"/>
      </w:pPr>
      <w:r>
        <w:t xml:space="preserve">5. Outcomes and Impact Analysis</w:t>
      </w:r>
    </w:p>
    <w:p>
      <w:pPr>
        <w:pStyle w:val="FirstParagraph"/>
      </w:pPr>
      <w:r>
        <w:t xml:space="preserve">The intervention described in this case study yielded measurable outcomes over an 18-month period. Through the concerted efforts of the social work team:</w:t>
      </w:r>
    </w:p>
    <w:p>
      <w:pPr>
        <w:numPr>
          <w:ilvl w:val="0"/>
          <w:numId w:val="1001"/>
        </w:numPr>
        <w:pStyle w:val="Compact"/>
      </w:pPr>
      <w:r>
        <w:rPr>
          <w:bCs/>
          <w:b/>
        </w:rPr>
        <w:t xml:space="preserve">School Retention:</w:t>
      </w:r>
      <w:r>
        <w:t xml:space="preserve"> </w:t>
      </w:r>
      <w:r>
        <w:t xml:space="preserve">School dropout rates among participants decreased by 35%, attributed to scholarship linkages and mentorship programs managed by social workers.</w:t>
      </w:r>
    </w:p>
    <w:p>
      <w:pPr>
        <w:numPr>
          <w:ilvl w:val="0"/>
          <w:numId w:val="1001"/>
        </w:numPr>
        <w:pStyle w:val="Compact"/>
      </w:pPr>
      <w:r>
        <w:rPr>
          <w:bCs/>
          <w:b/>
        </w:rPr>
        <w:t xml:space="preserve">Civic Participation:</w:t>
      </w:r>
      <w:r>
        <w:t xml:space="preserve"> </w:t>
      </w:r>
      <w:r>
        <w:t xml:space="preserve">Formation of three neighborhood councils led by residents, facilitated by social workers trained in participatory budgeting techniques.</w:t>
      </w:r>
    </w:p>
    <w:p>
      <w:pPr>
        <w:numPr>
          <w:ilvl w:val="0"/>
          <w:numId w:val="1001"/>
        </w:numPr>
        <w:pStyle w:val="Compact"/>
      </w:pPr>
      <w:r>
        <w:rPr>
          <w:bCs/>
          <w:b/>
        </w:rPr>
        <w:t xml:space="preserve">Psycho-social Well-being:</w:t>
      </w:r>
      <w:r>
        <w:t xml:space="preserve"> </w:t>
      </w:r>
      <w:r>
        <w:t xml:space="preserve">A 40% reduction in reported symptoms of anxiety and depression among youth participants, measured through standardized local screening tools.</w:t>
      </w:r>
    </w:p>
    <w:p>
      <w:pPr>
        <w:pStyle w:val="FirstParagraph"/>
      </w:pPr>
      <w:r>
        <w:t xml:space="preserve">These outcomes demonstrate that the</w:t>
      </w:r>
      <w:r>
        <w:t xml:space="preserve"> </w:t>
      </w:r>
      <w:r>
        <w:rPr>
          <w:bCs/>
          <w:b/>
        </w:rPr>
        <w:t xml:space="preserve">Social Worker</w:t>
      </w:r>
      <w:r>
        <w:t xml:space="preserve"> </w:t>
      </w:r>
      <w:r>
        <w:t xml:space="preserve">is not just a passive observer but an active architect of resilience in</w:t>
      </w:r>
      <w:r>
        <w:t xml:space="preserve"> </w:t>
      </w:r>
      <w:r>
        <w:rPr>
          <w:bCs/>
          <w:b/>
        </w:rPr>
        <w:t xml:space="preserve">Colombia Bogotá</w:t>
      </w:r>
      <w:r>
        <w:t xml:space="preserve">. By addressing both individual trauma and systemic barriers, social workers contribute to the broader goal of sustainable peace.</w:t>
      </w:r>
    </w:p>
    <w:bookmarkEnd w:id="28"/>
    <w:bookmarkStart w:id="29" w:name="Xf822d6d2890b437a25042c44e1c5a8f3f44f8a8"/>
    <w:p>
      <w:pPr>
        <w:pStyle w:val="Heading2"/>
      </w:pPr>
      <w:r>
        <w:t xml:space="preserve">6. Conclusion: The Future of Social Work in Bogotá</w:t>
      </w:r>
    </w:p>
    <w:p>
      <w:pPr>
        <w:pStyle w:val="FirstParagraph"/>
      </w:pPr>
      <w:r>
        <w:t xml:space="preserve">This case study underscores the indispensable nature of social work in the urban fabric of Colombia. As Bogotá continues to evolve, facing new waves of migration from rural areas and complex socio-economic shifts, the adaptability of social workers will be paramount.</w:t>
      </w:r>
    </w:p>
    <w:p>
      <w:pPr>
        <w:pStyle w:val="BodyText"/>
      </w:pPr>
      <w:r>
        <w:t xml:space="preserve">The modern</w:t>
      </w:r>
      <w:r>
        <w:t xml:space="preserve"> </w:t>
      </w:r>
      <w:r>
        <w:rPr>
          <w:bCs/>
          <w:b/>
        </w:rPr>
        <w:t xml:space="preserve">Social Worker</w:t>
      </w:r>
      <w:r>
        <w:t xml:space="preserve"> </w:t>
      </w:r>
      <w:r>
        <w:t xml:space="preserve">in this region must possess a hybrid skill set: clinical empathy combined with political acumen and logistical expertise. They are the glue holding together fragmented communities, translating state policy into human dignity. For policymakers, NGOs, and academic institutions focusing on</w:t>
      </w:r>
      <w:r>
        <w:t xml:space="preserve"> </w:t>
      </w:r>
      <w:r>
        <w:rPr>
          <w:bCs/>
          <w:b/>
        </w:rPr>
        <w:t xml:space="preserve">Colombia Bogotá</w:t>
      </w:r>
      <w:r>
        <w:t xml:space="preserve">, investing in the training, protection, and resources of social workers is not just a welfare issue—it is a strategic imperative for urban stability.</w:t>
      </w:r>
    </w:p>
    <w:p>
      <w:pPr>
        <w:pStyle w:val="BodyText"/>
      </w:pPr>
      <w:r>
        <w:t xml:space="preserve">In conclusion, the story of social work in Bogotá is one of resilience against adversity. It highlights how dedicated professionals navigate the complexities of inequality to create spaces where vulnerable populations can thrive. As we look to the future, strengthening these roles remains essential for building an inclusive society in one of South America’s most vibrant cities.</w:t>
      </w:r>
    </w:p>
    <w:p>
      <w:r>
        <w:pict>
          <v:rect style="width:0;height:1.5pt" o:hralign="center" o:hrstd="t" o:hr="t"/>
        </w:pict>
      </w:r>
    </w:p>
    <w:p>
      <w:pPr>
        <w:pStyle w:val="FirstParagraph"/>
      </w:pPr>
      <w:r>
        <w:rPr>
          <w:iCs/>
          <w:i/>
        </w:rPr>
        <w:t xml:space="preserve">Note: This document is a composite case study based on common practices and challenges observed in social services within Bogotá, Colombia. Names and specific identifiers have been anonymized to protect privacy, but the scenarios reflect real-world operational contexts.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Social Worker in Colombia Bogotá</dc:title>
  <dc:creator/>
  <dc:language>en</dc:language>
  <cp:keywords/>
  <dcterms:created xsi:type="dcterms:W3CDTF">2026-07-29T08:35:32Z</dcterms:created>
  <dcterms:modified xsi:type="dcterms:W3CDTF">2026-07-29T08:35:32Z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