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Colombia</w:t>
      </w:r>
      <w:r>
        <w:t xml:space="preserve"> </w:t>
      </w:r>
      <w:r>
        <w:t xml:space="preserve">Medellín</w:t>
      </w:r>
    </w:p>
    <w:bookmarkStart w:id="31" w:name="X739ea0a84114af821b828eaf98683a02d6a9871"/>
    <w:p>
      <w:pPr>
        <w:pStyle w:val="Heading1"/>
      </w:pPr>
      <w:r>
        <w:t xml:space="preserve">A Case Study on Integrated Social Worker Initiatives in Colombia Medellín</w:t>
      </w:r>
    </w:p>
    <w:p>
      <w:pPr>
        <w:pStyle w:val="FirstParagraph"/>
      </w:pPr>
      <w:r>
        <w:t xml:space="preserve">The following document provides a comprehensive case study analysis of social work practices within the urban landscape of Colombia Medellín. This report explores how professional</w:t>
      </w:r>
      <w:r>
        <w:t xml:space="preserve"> </w:t>
      </w:r>
      <w:r>
        <w:rPr>
          <w:bCs/>
          <w:b/>
        </w:rPr>
        <w:t xml:space="preserve">Social Worker</w:t>
      </w:r>
      <w:r>
        <w:t xml:space="preserve"> </w:t>
      </w:r>
      <w:r>
        <w:t xml:space="preserve">interventions are adapting to the unique socio-economic challenges present in this rapidly developing city.</w:t>
      </w:r>
    </w:p>
    <w:p>
      <w:pPr>
        <w:pStyle w:val="BodyText"/>
      </w:pPr>
      <w:r>
        <w:rPr>
          <w:bCs/>
          <w:b/>
        </w:rPr>
        <w:t xml:space="preserve">Context:</w:t>
      </w:r>
      <w:r>
        <w:t xml:space="preserve"> </w:t>
      </w:r>
      <w:r>
        <w:t xml:space="preserve">As one of Latin America’s most dynamic cities, Colombia Medellín presents a complex dichotomy between innovation and inequality. This case study examines how targeted social work strategies can bridge the gap between marginalized communities and formal institutional support systems.</w:t>
      </w:r>
    </w:p>
    <w:bookmarkStart w:id="20" w:name="Xb199f9290bd3f825b20a58101e68708279e395e"/>
    <w:p>
      <w:pPr>
        <w:pStyle w:val="Heading2"/>
      </w:pPr>
      <w:r>
        <w:t xml:space="preserve">1. Introduction: The Landscape of Social Work in Colombia Medellín</w:t>
      </w:r>
    </w:p>
    <w:p>
      <w:pPr>
        <w:pStyle w:val="FirstParagraph"/>
      </w:pPr>
      <w:r>
        <w:t xml:space="preserve">The transformation of</w:t>
      </w:r>
      <w:r>
        <w:t xml:space="preserve"> </w:t>
      </w:r>
      <w:r>
        <w:rPr>
          <w:bCs/>
          <w:b/>
        </w:rPr>
        <w:t xml:space="preserve">Colombia Medellín</w:t>
      </w:r>
      <w:r>
        <w:t xml:space="preserve"> </w:t>
      </w:r>
      <w:r>
        <w:t xml:space="preserve">over the past two decades has been nothing short of remarkable. Once notorious for its association with drug trafficking and violence, the city has reinvented itself as a hub of urban innovation, public transport efficiency, and cultural revitalization. However, this narrative of success often overshadows persistent structural inequalities. In neighborhoods such as Comuna 13 (La Cuesta), Aranjuez, and San Javier—historically excluded from the city’s central development—the need for robust social services remains acute.</w:t>
      </w:r>
    </w:p>
    <w:p>
      <w:pPr>
        <w:pStyle w:val="BodyText"/>
      </w:pPr>
      <w:r>
        <w:t xml:space="preserve">In this context, the role of a</w:t>
      </w:r>
      <w:r>
        <w:t xml:space="preserve"> </w:t>
      </w:r>
      <w:r>
        <w:rPr>
          <w:bCs/>
          <w:b/>
        </w:rPr>
        <w:t xml:space="preserve">Social Worker</w:t>
      </w:r>
      <w:r>
        <w:t xml:space="preserve"> </w:t>
      </w:r>
      <w:r>
        <w:t xml:space="preserve">transcends traditional charitable models. It requires a sophisticated understanding of public policy, community psychology, and urban sociology. The modern</w:t>
      </w:r>
      <w:r>
        <w:t xml:space="preserve"> </w:t>
      </w:r>
      <w:r>
        <w:rPr>
          <w:bCs/>
          <w:b/>
        </w:rPr>
        <w:t xml:space="preserve">Social Worker</w:t>
      </w:r>
      <w:r>
        <w:t xml:space="preserve"> </w:t>
      </w:r>
      <w:r>
        <w:t xml:space="preserve">in</w:t>
      </w:r>
      <w:r>
        <w:t xml:space="preserve"> </w:t>
      </w:r>
      <w:r>
        <w:rPr>
          <w:bCs/>
          <w:b/>
        </w:rPr>
        <w:t xml:space="preserve">Colombia Medellín</w:t>
      </w:r>
      <w:r>
        <w:t xml:space="preserve"> </w:t>
      </w:r>
      <w:r>
        <w:t xml:space="preserve">operates at the intersection of state bureaucracy and grassroots activism, tasked with implementing national social programs while addressing immediate human needs on the ground.</w:t>
      </w:r>
    </w:p>
    <w:bookmarkEnd w:id="20"/>
    <w:bookmarkStart w:id="23" w:name="Xa9b00b44d8d31481d761e2ef75280d3de377960"/>
    <w:p>
      <w:pPr>
        <w:pStyle w:val="Heading2"/>
      </w:pPr>
      <w:r>
        <w:t xml:space="preserve">2. Case Profile: Community Empowerment in Comuna 13</w:t>
      </w:r>
    </w:p>
    <w:p>
      <w:pPr>
        <w:pStyle w:val="FirstParagraph"/>
      </w:pPr>
      <w:r>
        <w:t xml:space="preserve">This case study focuses on a specific intervention program located in Comuna 13, one of</w:t>
      </w:r>
      <w:r>
        <w:t xml:space="preserve"> </w:t>
      </w:r>
      <w:r>
        <w:rPr>
          <w:bCs/>
          <w:b/>
        </w:rPr>
        <w:t xml:space="preserve">Colombia Medellín’s</w:t>
      </w:r>
      <w:r>
        <w:t xml:space="preserve"> </w:t>
      </w:r>
      <w:r>
        <w:t xml:space="preserve">most iconic and historically marginalized hillside communities. The initiative, titled "Social Fabric," was designed to combat youth radicalization and intergenerational poverty through education and economic inclusion.</w:t>
      </w:r>
    </w:p>
    <w:bookmarkStart w:id="21" w:name="the-problem-statement"/>
    <w:p>
      <w:pPr>
        <w:pStyle w:val="Heading3"/>
      </w:pPr>
      <w:r>
        <w:t xml:space="preserve">The Problem Statement</w:t>
      </w:r>
    </w:p>
    <w:p>
      <w:pPr>
        <w:pStyle w:val="FirstParagraph"/>
      </w:pPr>
      <w:r>
        <w:t xml:space="preserve">Youth in Comuna 13 faced high risks of recruitment by illegal armed groups due to limited educational opportunities and a lack of formal employment. Previous top-down approaches had failed because they ignored the community’s existing social capital. The primary challenge was to create a sustainable support system that respected local culture while introducing new economic pathways.</w:t>
      </w:r>
    </w:p>
    <w:bookmarkEnd w:id="21"/>
    <w:bookmarkStart w:id="22" w:name="the-role-of-the-social-worker"/>
    <w:p>
      <w:pPr>
        <w:pStyle w:val="Heading3"/>
      </w:pPr>
      <w:r>
        <w:t xml:space="preserve">The Role of the Social Worker</w:t>
      </w:r>
    </w:p>
    <w:p>
      <w:pPr>
        <w:pStyle w:val="FirstParagraph"/>
      </w:pPr>
      <w:r>
        <w:t xml:space="preserve">A team of four certified</w:t>
      </w:r>
      <w:r>
        <w:t xml:space="preserve"> </w:t>
      </w:r>
      <w:r>
        <w:rPr>
          <w:bCs/>
          <w:b/>
        </w:rPr>
        <w:t xml:space="preserve">Social Worker</w:t>
      </w:r>
      <w:r>
        <w:t xml:space="preserve"> </w:t>
      </w:r>
      <w:r>
        <w:t xml:space="preserve">professionals was deployed to lead this initiative. Their approach was grounded in three core pillars:</w:t>
      </w:r>
    </w:p>
    <w:p>
      <w:pPr>
        <w:numPr>
          <w:ilvl w:val="0"/>
          <w:numId w:val="1001"/>
        </w:numPr>
        <w:pStyle w:val="Compact"/>
      </w:pPr>
      <w:r>
        <w:rPr>
          <w:bCs/>
          <w:b/>
        </w:rPr>
        <w:t xml:space="preserve">Pedagogical Support:</w:t>
      </w:r>
      <w:r>
        <w:t xml:space="preserve"> </w:t>
      </w:r>
      <w:r>
        <w:t xml:space="preserve">Working closely with local schools to identify at-risk students and provide tutoring and mentorship.</w:t>
      </w:r>
    </w:p>
    <w:p>
      <w:pPr>
        <w:numPr>
          <w:ilvl w:val="0"/>
          <w:numId w:val="1001"/>
        </w:numPr>
        <w:pStyle w:val="Compact"/>
      </w:pPr>
      <w:r>
        <w:rPr>
          <w:bCs/>
          <w:b/>
        </w:rPr>
        <w:t xml:space="preserve">Economic Inclusion:</w:t>
      </w:r>
      <w:r>
        <w:t xml:space="preserve"> </w:t>
      </w:r>
      <w:r>
        <w:t xml:space="preserve">Facilitating partnerships with tech companies and tourism boards to create vocational training programs relevant to the modern economy of</w:t>
      </w:r>
      <w:r>
        <w:t xml:space="preserve"> </w:t>
      </w:r>
      <w:r>
        <w:rPr>
          <w:bCs/>
          <w:b/>
        </w:rPr>
        <w:t xml:space="preserve">Colombia Medellín</w:t>
      </w:r>
      <w:r>
        <w:t xml:space="preserve">.</w:t>
      </w:r>
    </w:p>
    <w:p>
      <w:pPr>
        <w:numPr>
          <w:ilvl w:val="0"/>
          <w:numId w:val="1001"/>
        </w:numPr>
        <w:pStyle w:val="Compact"/>
      </w:pPr>
      <w:r>
        <w:rPr>
          <w:bCs/>
          <w:b/>
        </w:rPr>
        <w:t xml:space="preserve">Trauma-Informed Care:</w:t>
      </w:r>
      <w:r>
        <w:t xml:space="preserve"> </w:t>
      </w:r>
      <w:r>
        <w:t xml:space="preserve">Providing psychological first aid and long-term counseling for individuals affected by past violence.</w:t>
      </w:r>
    </w:p>
    <w:bookmarkEnd w:id="22"/>
    <w:bookmarkEnd w:id="23"/>
    <w:bookmarkStart w:id="27" w:name="Xc52173fdab58879b9361b6dfc371ff704951877"/>
    <w:p>
      <w:pPr>
        <w:pStyle w:val="Heading2"/>
      </w:pPr>
      <w:r>
        <w:t xml:space="preserve">3. Methodology and Implementation Strategies</w:t>
      </w:r>
    </w:p>
    <w:p>
      <w:pPr>
        <w:pStyle w:val="FirstParagraph"/>
      </w:pPr>
      <w:r>
        <w:t xml:space="preserve">The success of this case study hinges on the methodological rigor applied by the</w:t>
      </w:r>
      <w:r>
        <w:t xml:space="preserve"> </w:t>
      </w:r>
      <w:r>
        <w:rPr>
          <w:bCs/>
          <w:b/>
        </w:rPr>
        <w:t xml:space="preserve">Social Worker</w:t>
      </w:r>
      <w:r>
        <w:t xml:space="preserve"> </w:t>
      </w:r>
      <w:r>
        <w:t xml:space="preserve">team. Rather than imposing external solutions, they utilized participatory action research methods to engage community leaders.</w:t>
      </w:r>
    </w:p>
    <w:bookmarkStart w:id="24" w:name="X40ac7e87919ec4e7f378487db116a56d712ef07"/>
    <w:p>
      <w:pPr>
        <w:pStyle w:val="Heading3"/>
      </w:pPr>
      <w:r>
        <w:t xml:space="preserve">Community Mapping and Asset-Based Development</w:t>
      </w:r>
    </w:p>
    <w:p>
      <w:pPr>
        <w:pStyle w:val="FirstParagraph"/>
      </w:pPr>
      <w:r>
        <w:t xml:space="preserve">The first phase involved extensive community mapping. The</w:t>
      </w:r>
      <w:r>
        <w:t xml:space="preserve"> </w:t>
      </w:r>
      <w:r>
        <w:rPr>
          <w:bCs/>
          <w:b/>
        </w:rPr>
        <w:t xml:space="preserve">Social Worker</w:t>
      </w:r>
      <w:r>
        <w:t xml:space="preserve"> </w:t>
      </w:r>
      <w:r>
        <w:t xml:space="preserve">professionals worked alongside residents to identify local assets—such as skilled artisans, informal business owners, and respected elders. This asset-based approach shifted the narrative from one of deficit (what the community lacks) to one of strength (what the community possesses).</w:t>
      </w:r>
    </w:p>
    <w:bookmarkEnd w:id="24"/>
    <w:bookmarkStart w:id="25" w:name="navigating-institutional-bureaucracy"/>
    <w:p>
      <w:pPr>
        <w:pStyle w:val="Heading3"/>
      </w:pPr>
      <w:r>
        <w:t xml:space="preserve">Navigating Institutional Bureaucracy</w:t>
      </w:r>
    </w:p>
    <w:p>
      <w:pPr>
        <w:pStyle w:val="FirstParagraph"/>
      </w:pPr>
      <w:r>
        <w:t xml:space="preserve">A significant portion of a</w:t>
      </w:r>
      <w:r>
        <w:t xml:space="preserve"> </w:t>
      </w:r>
      <w:r>
        <w:rPr>
          <w:bCs/>
          <w:b/>
        </w:rPr>
        <w:t xml:space="preserve">Social Worker’s</w:t>
      </w:r>
      <w:r>
        <w:t xml:space="preserve"> </w:t>
      </w:r>
      <w:r>
        <w:t xml:space="preserve">job in</w:t>
      </w:r>
      <w:r>
        <w:t xml:space="preserve"> </w:t>
      </w:r>
      <w:r>
        <w:rPr>
          <w:bCs/>
          <w:b/>
        </w:rPr>
        <w:t xml:space="preserve">Colombia Medellín</w:t>
      </w:r>
      <w:r>
        <w:t xml:space="preserve"> </w:t>
      </w:r>
      <w:r>
        <w:t xml:space="preserve">involves navigating complex bureaucratic systems. The team had to coordinate with local municipal agencies, non-governmental organizations (NGOs), and private sector partners. This required diplomatic skills and a deep understanding of Colombian labor laws and social security frameworks.</w:t>
      </w:r>
    </w:p>
    <w:bookmarkEnd w:id="25"/>
    <w:bookmarkStart w:id="26" w:name="digital-inclusion-as-social-justice"/>
    <w:p>
      <w:pPr>
        <w:pStyle w:val="Heading3"/>
      </w:pPr>
      <w:r>
        <w:t xml:space="preserve">Digital Inclusion as Social Justice</w:t>
      </w:r>
    </w:p>
    <w:p>
      <w:pPr>
        <w:pStyle w:val="FirstParagraph"/>
      </w:pPr>
      <w:r>
        <w:t xml:space="preserve">Recognizing that digital literacy is now a prerequisite for economic participation, the</w:t>
      </w:r>
      <w:r>
        <w:t xml:space="preserve"> </w:t>
      </w:r>
      <w:r>
        <w:rPr>
          <w:bCs/>
          <w:b/>
        </w:rPr>
        <w:t xml:space="preserve">Social Worker</w:t>
      </w:r>
      <w:r>
        <w:t xml:space="preserve"> </w:t>
      </w:r>
      <w:r>
        <w:t xml:space="preserve">team established "Digital Hubs" in community centers. These hubs provided free internet access and coding classes. This initiative was crucial in connecting isolated youth with the broader job market in Medellín’s growing technology sector.</w:t>
      </w:r>
    </w:p>
    <w:bookmarkEnd w:id="26"/>
    <w:bookmarkEnd w:id="27"/>
    <w:bookmarkStart w:id="28" w:name="challenges-encountered-by-social-workers"/>
    <w:p>
      <w:pPr>
        <w:pStyle w:val="Heading2"/>
      </w:pPr>
      <w:r>
        <w:t xml:space="preserve">4. Challenges Encountered by Social Workers</w:t>
      </w:r>
    </w:p>
    <w:p>
      <w:pPr>
        <w:pStyle w:val="FirstParagraph"/>
      </w:pPr>
      <w:r>
        <w:t xml:space="preserve">While the outcomes were positive, the path was fraught with challenges that are typical for a</w:t>
      </w:r>
      <w:r>
        <w:t xml:space="preserve"> </w:t>
      </w:r>
      <w:r>
        <w:rPr>
          <w:bCs/>
          <w:b/>
        </w:rPr>
        <w:t xml:space="preserve">Social Worker</w:t>
      </w:r>
      <w:r>
        <w:t xml:space="preserve"> </w:t>
      </w:r>
      <w:r>
        <w:t xml:space="preserve">operating in high-risk areas of</w:t>
      </w:r>
      <w:r>
        <w:t xml:space="preserve"> </w:t>
      </w:r>
      <w:r>
        <w:rPr>
          <w:bCs/>
          <w:b/>
        </w:rPr>
        <w:t xml:space="preserve">Colombia Medellín</w:t>
      </w:r>
      <w:r>
        <w:t xml:space="preserve">.</w:t>
      </w:r>
    </w:p>
    <w:p>
      <w:pPr>
        <w:numPr>
          <w:ilvl w:val="0"/>
          <w:numId w:val="1002"/>
        </w:numPr>
        <w:pStyle w:val="Compact"/>
      </w:pPr>
      <w:r>
        <w:t xml:space="preserve">Gang Influence:The presence of illegal armed groups remains a threat. The</w:t>
      </w:r>
      <w:r>
        <w:t xml:space="preserve"> </w:t>
      </w:r>
      <w:r>
        <w:rPr>
          <w:bCs/>
          <w:b/>
        </w:rPr>
        <w:t xml:space="preserve">Social Worker</w:t>
      </w:r>
      <w:r>
        <w:t xml:space="preserve"> </w:t>
      </w:r>
      <w:r>
        <w:t xml:space="preserve">team had to negotiate safe passage and ensure the neutrality of their programs to avoid being co-opted by criminal organizations.</w:t>
      </w:r>
    </w:p>
    <w:p>
      <w:pPr>
        <w:numPr>
          <w:ilvl w:val="0"/>
          <w:numId w:val="1002"/>
        </w:numPr>
        <w:pStyle w:val="Compact"/>
      </w:pPr>
      <w:r>
        <w:rPr>
          <w:bCs/>
          <w:b/>
        </w:rPr>
        <w:t xml:space="preserve">Resource Scarcity:</w:t>
      </w:r>
      <w:r>
        <w:t xml:space="preserve"> </w:t>
      </w:r>
      <w:r>
        <w:t xml:space="preserve">Funding for social programs is often intermittent. The</w:t>
      </w:r>
      <w:r>
        <w:t xml:space="preserve"> </w:t>
      </w:r>
      <w:r>
        <w:rPr>
          <w:bCs/>
          <w:b/>
        </w:rPr>
        <w:t xml:space="preserve">Social Worker</w:t>
      </w:r>
      <w:r>
        <w:t xml:space="preserve"> </w:t>
      </w:r>
      <w:r>
        <w:t xml:space="preserve">professionals spent considerable time writing grant proposals and securing sustainable funding streams.</w:t>
      </w:r>
    </w:p>
    <w:p>
      <w:pPr>
        <w:numPr>
          <w:ilvl w:val="0"/>
          <w:numId w:val="1002"/>
        </w:numPr>
        <w:pStyle w:val="Compact"/>
      </w:pPr>
      <w:r>
        <w:t xml:space="preserve">Burnout and Secondary Trauma: Working with victims of violence takes an emotional toll. The study highlights the critical need for institutional support systems for the</w:t>
      </w:r>
      <w:r>
        <w:t xml:space="preserve"> </w:t>
      </w:r>
      <w:r>
        <w:rPr>
          <w:bCs/>
          <w:b/>
        </w:rPr>
        <w:t xml:space="preserve">Social Worker</w:t>
      </w:r>
      <w:r>
        <w:t xml:space="preserve">s themselves, including regular supervision and mental health breaks.</w:t>
      </w:r>
    </w:p>
    <w:bookmarkEnd w:id="28"/>
    <w:bookmarkStart w:id="29" w:name="outcomes-and-impact-assessment"/>
    <w:p>
      <w:pPr>
        <w:pStyle w:val="Heading2"/>
      </w:pPr>
      <w:r>
        <w:t xml:space="preserve">5. Outcomes and Impact Assessment</w:t>
      </w:r>
    </w:p>
    <w:p>
      <w:pPr>
        <w:pStyle w:val="FirstParagraph"/>
      </w:pPr>
      <w:r>
        <w:t xml:space="preserve">After three years of intervention, the data indicated significant improvements in several key areas:</w:t>
      </w:r>
    </w:p>
    <w:p>
      <w:pPr>
        <w:numPr>
          <w:ilvl w:val="0"/>
          <w:numId w:val="1003"/>
        </w:numPr>
        <w:pStyle w:val="Compact"/>
      </w:pPr>
      <w:r>
        <w:t xml:space="preserve">A 30% reduction in youth recruitment by illegal groups in the target zone.</w:t>
      </w:r>
    </w:p>
    <w:p>
      <w:pPr>
        <w:numPr>
          <w:ilvl w:val="0"/>
          <w:numId w:val="1003"/>
        </w:numPr>
        <w:pStyle w:val="Compact"/>
      </w:pPr>
      <w:r>
        <w:t xml:space="preserve">The establishment of over 50 small businesses owned by program graduates.</w:t>
      </w:r>
    </w:p>
    <w:p>
      <w:pPr>
        <w:numPr>
          <w:ilvl w:val="0"/>
          <w:numId w:val="1003"/>
        </w:numPr>
        <w:pStyle w:val="Compact"/>
      </w:pPr>
      <w:r>
        <w:t xml:space="preserve">Improved academic performance among participating students, leading to higher university enrollment rates.</w:t>
      </w:r>
    </w:p>
    <w:p>
      <w:pPr>
        <w:pStyle w:val="FirstParagraph"/>
      </w:pPr>
      <w:r>
        <w:t xml:space="preserve">These outcomes demonstrate that when a</w:t>
      </w:r>
      <w:r>
        <w:t xml:space="preserve"> </w:t>
      </w:r>
      <w:r>
        <w:rPr>
          <w:bCs/>
          <w:b/>
        </w:rPr>
        <w:t xml:space="preserve">Social Worker</w:t>
      </w:r>
      <w:r>
        <w:t xml:space="preserve"> </w:t>
      </w:r>
      <w:r>
        <w:t xml:space="preserve">is empowered with adequate resources and community trust, they can catalyze profound social change in</w:t>
      </w:r>
      <w:r>
        <w:t xml:space="preserve"> </w:t>
      </w:r>
      <w:r>
        <w:rPr>
          <w:bCs/>
          <w:b/>
        </w:rPr>
        <w:t xml:space="preserve">Colombia Medellín</w:t>
      </w:r>
      <w:r>
        <w:t xml:space="preserve">.</w:t>
      </w:r>
    </w:p>
    <w:bookmarkEnd w:id="29"/>
    <w:bookmarkStart w:id="30" w:name="X656c8c4fd26f3f706b40dc49889dc27a3620945"/>
    <w:p>
      <w:pPr>
        <w:pStyle w:val="Heading2"/>
      </w:pPr>
      <w:r>
        <w:t xml:space="preserve">6. Conclusion: The Future of Social Work in Colombia Medellín</w:t>
      </w:r>
    </w:p>
    <w:p>
      <w:pPr>
        <w:pStyle w:val="FirstParagraph"/>
      </w:pPr>
      <w:r>
        <w:t xml:space="preserve">This case study underscores the vital importance of professionalizing and supporting the</w:t>
      </w:r>
      <w:r>
        <w:t xml:space="preserve"> </w:t>
      </w:r>
      <w:r>
        <w:rPr>
          <w:bCs/>
          <w:b/>
        </w:rPr>
        <w:t xml:space="preserve">Social Worker</w:t>
      </w:r>
      <w:r>
        <w:t xml:space="preserve"> </w:t>
      </w:r>
      <w:r>
        <w:t xml:space="preserve">discipline within</w:t>
      </w:r>
    </w:p>
    <w:p>
      <w:pPr>
        <w:pStyle w:val="BodyText"/>
      </w:pPr>
      <w:r>
        <w:t xml:space="preserve">Colombia Medellín’ssocio-political framework. The city’s transformation is not just a result of infrastructure projects but also of the human-centered work done by social professionals who address the root causes of inequality.</w:t>
      </w:r>
    </w:p>
    <w:p>
      <w:pPr>
        <w:pStyle w:val="BodyText"/>
      </w:pPr>
      <w:r>
        <w:t xml:space="preserve">Moving forward, it is essential for policymakers to recognize social work as a strategic pillar of urban development. Investing in</w:t>
      </w:r>
      <w:r>
        <w:t xml:space="preserve"> </w:t>
      </w:r>
      <w:r>
        <w:rPr>
          <w:bCs/>
          <w:b/>
        </w:rPr>
        <w:t xml:space="preserve">Social Worker</w:t>
      </w:r>
      <w:r>
        <w:t xml:space="preserve"> </w:t>
      </w:r>
      <w:r>
        <w:t xml:space="preserve">training, ensuring competitive salaries, and providing robust institutional backing are necessary steps to sustain progress in</w:t>
      </w:r>
      <w:r>
        <w:t xml:space="preserve"> </w:t>
      </w:r>
      <w:r>
        <w:rPr>
          <w:bCs/>
          <w:b/>
        </w:rPr>
        <w:t xml:space="preserve">Colombia Medellín</w:t>
      </w:r>
      <w:r>
        <w:t xml:space="preserve">.</w:t>
      </w:r>
    </w:p>
    <w:p>
      <w:pPr>
        <w:pStyle w:val="BodyText"/>
      </w:pPr>
      <w:r>
        <w:rPr>
          <w:iCs/>
          <w:i/>
        </w:rPr>
        <w:t xml:space="preserve">Final Reflection:</w:t>
      </w:r>
      <w:r>
        <w:t xml:space="preserve"> </w:t>
      </w:r>
      <w:r>
        <w:t xml:space="preserve">The story of Comuna 13 is a testament to resilience. By placing the</w:t>
      </w:r>
      <w:r>
        <w:t xml:space="preserve"> </w:t>
      </w:r>
      <w:r>
        <w:rPr>
          <w:bCs/>
          <w:b/>
        </w:rPr>
        <w:t xml:space="preserve">Social Worker</w:t>
      </w:r>
      <w:r>
        <w:t xml:space="preserve"> </w:t>
      </w:r>
      <w:r>
        <w:t xml:space="preserve">at the heart of community development,</w:t>
      </w:r>
    </w:p>
    <w:p>
      <w:pPr>
        <w:pStyle w:val="BodyText"/>
      </w:pPr>
      <w:r>
        <w:t xml:space="preserve">Colombia Medellínpaves a way toward a more equitable and inclusive future for all its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Colombia Medellín</dc:title>
  <dc:creator/>
  <dc:language>en</dc:language>
  <cp:keywords/>
  <dcterms:created xsi:type="dcterms:W3CDTF">2026-07-29T10:15:24Z</dcterms:created>
  <dcterms:modified xsi:type="dcterms:W3CDTF">2026-07-29T10:15:24Z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