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Frankfurt</w:t>
      </w:r>
    </w:p>
    <w:bookmarkStart w:id="26" w:name="Xd3092c3ac56fdc8c92ae9fe9a714d58a85e7a9c"/>
    <w:p>
      <w:pPr>
        <w:pStyle w:val="Heading1"/>
      </w:pPr>
      <w:r>
        <w:t xml:space="preserve">The Complex Ecosystem of Social Work in Germany Frankfurt</w:t>
      </w:r>
    </w:p>
    <w:p>
      <w:pPr>
        <w:pStyle w:val="FirstParagraph"/>
      </w:pPr>
      <w:r>
        <w:rPr>
          <w:bCs/>
          <w:b/>
        </w:rPr>
        <w:t xml:space="preserve">Title:</w:t>
      </w:r>
      <w:r>
        <w:t xml:space="preserve"> </w:t>
      </w:r>
      <w:r>
        <w:t xml:space="preserve">Integrating Diversity, Navigating Bureaucracy, and Restoring Dignity: A Case Study on the Social Worker in Germany Frankfurt.</w:t>
      </w:r>
    </w:p>
    <w:p>
      <w:pPr>
        <w:pStyle w:val="BodyText"/>
      </w:pPr>
      <w:r>
        <w:rPr>
          <w:bCs/>
          <w:b/>
        </w:rPr>
        <w:t xml:space="preserve">Date:</w:t>
      </w:r>
      <w:r>
        <w:t xml:space="preserve"> </w:t>
      </w:r>
      <w:r>
        <w:t xml:space="preserve">May 2024</w:t>
      </w:r>
    </w:p>
    <w:bookmarkStart w:id="20" w:name="X85af9f801e47b284e4afb987e002b682cdac6bf"/>
    <w:p>
      <w:pPr>
        <w:pStyle w:val="Heading2"/>
      </w:pPr>
      <w:r>
        <w:t xml:space="preserve">The Challenge of Urban Integration in Central Europe</w:t>
      </w:r>
    </w:p>
    <w:p>
      <w:pPr>
        <w:pStyle w:val="FirstParagraph"/>
      </w:pPr>
      <w:r>
        <w:t xml:space="preserve">In the heart of continental Europe,</w:t>
      </w:r>
      <w:r>
        <w:t xml:space="preserve"> </w:t>
      </w:r>
      <w:r>
        <w:rPr>
          <w:bCs/>
          <w:b/>
        </w:rPr>
        <w:t xml:space="preserve">Germany Frankfurt</w:t>
      </w:r>
      <w:r>
        <w:t xml:space="preserve">, also known as the "Mainhattan" due to its skyline, stands as a global financial hub. However, beneath its glass facades lies a complex social fabric that requires specialized attention. This case study explores the critical role of the</w:t>
      </w:r>
      <w:r>
        <w:t xml:space="preserve"> </w:t>
      </w:r>
      <w:r>
        <w:rPr>
          <w:bCs/>
          <w:b/>
        </w:rPr>
        <w:t xml:space="preserve">Social Worker</w:t>
      </w:r>
      <w:r>
        <w:t xml:space="preserve"> </w:t>
      </w:r>
      <w:r>
        <w:t xml:space="preserve">within this specific geographic and cultural context. The objective is to understand how professional intervention facilitates integration for refugees, manages poverty in a high-cost-of-living city, and bridges the gap between rigid bureaucratic systems and vulnerable individuals.</w:t>
      </w:r>
    </w:p>
    <w:p>
      <w:pPr>
        <w:pStyle w:val="BodyText"/>
      </w:pPr>
      <w:r>
        <w:t xml:space="preserve">Frankfurt am Main is unique because it combines extreme wealth with significant social disparity. While the financial district thrives, neighborhoods such as Bockenheim or Ginnheim face challenges related to overcrowding, language barriers for non-German speakers, and systemic unemployment. The</w:t>
      </w:r>
      <w:r>
        <w:t xml:space="preserve"> </w:t>
      </w:r>
      <w:r>
        <w:rPr>
          <w:bCs/>
          <w:b/>
        </w:rPr>
        <w:t xml:space="preserve">Social Worker</w:t>
      </w:r>
      <w:r>
        <w:t xml:space="preserve"> </w:t>
      </w:r>
      <w:r>
        <w:t xml:space="preserve">in</w:t>
      </w:r>
      <w:r>
        <w:t xml:space="preserve"> </w:t>
      </w:r>
      <w:r>
        <w:rPr>
          <w:bCs/>
          <w:b/>
        </w:rPr>
        <w:t xml:space="preserve">Germany Frankfurt</w:t>
      </w:r>
      <w:r>
        <w:t xml:space="preserve"> </w:t>
      </w:r>
      <w:r>
        <w:t xml:space="preserve">is not merely a counselor but a navigator of one of Europe's most intricate welfare states.</w:t>
      </w:r>
    </w:p>
    <w:bookmarkEnd w:id="20"/>
    <w:bookmarkStart w:id="21" w:name="X0abdf4f851b6494a339d2c8e7d8b4f75ee585ea"/>
    <w:p>
      <w:pPr>
        <w:pStyle w:val="Heading2"/>
      </w:pPr>
      <w:r>
        <w:t xml:space="preserve">The Case Profile: "Elena" and the Bureaucratic Maze</w:t>
      </w:r>
    </w:p>
    <w:p>
      <w:pPr>
        <w:pStyle w:val="FirstParagraph"/>
      </w:pPr>
      <w:r>
        <w:t xml:space="preserve">To illustrate the daily reality for a</w:t>
      </w:r>
      <w:r>
        <w:t xml:space="preserve"> </w:t>
      </w:r>
      <w:r>
        <w:rPr>
          <w:bCs/>
          <w:b/>
        </w:rPr>
        <w:t xml:space="preserve">Social Worker</w:t>
      </w:r>
      <w:r>
        <w:t xml:space="preserve">, we examine the anonymized case of "Elena," a 34-year-old single mother who relocated to</w:t>
      </w:r>
      <w:r>
        <w:t xml:space="preserve"> </w:t>
      </w:r>
      <w:r>
        <w:rPr>
          <w:bCs/>
          <w:b/>
        </w:rPr>
        <w:t xml:space="preserve">Germany Frankfurt</w:t>
      </w:r>
      <w:r>
        <w:t xml:space="preserve"> </w:t>
      </w:r>
      <w:r>
        <w:t xml:space="preserve">from Ukraine five months ago. Upon her arrival, Elena faced three immediate hurdles: securing legal residency status, accessing affordable housing in a market with a vacancy rate below 2%, and navigating the German language.</w:t>
      </w:r>
    </w:p>
    <w:p>
      <w:pPr>
        <w:pStyle w:val="BodyText"/>
      </w:pPr>
      <w:r>
        <w:t xml:space="preserve">In many other jurisdictions, these issues might be handled by separate agencies. However, in</w:t>
      </w:r>
      <w:r>
        <w:t xml:space="preserve"> </w:t>
      </w:r>
      <w:r>
        <w:rPr>
          <w:bCs/>
          <w:b/>
        </w:rPr>
        <w:t xml:space="preserve">Germany Frankfurt</w:t>
      </w:r>
      <w:r>
        <w:t xml:space="preserve">, the systems are intertwined. The local Jugendamt (Youth Welfare Office) and the Ausländerbehörde (Foreigners' Authority) operate on strict legal frameworks. Without assistance, Elena would likely have fallen through the cracks of this system.</w:t>
      </w:r>
    </w:p>
    <w:p>
      <w:pPr>
        <w:pStyle w:val="BodyText"/>
      </w:pPr>
      <w:r>
        <w:t xml:space="preserve">The assigned</w:t>
      </w:r>
      <w:r>
        <w:t xml:space="preserve"> </w:t>
      </w:r>
      <w:r>
        <w:rPr>
          <w:bCs/>
          <w:b/>
        </w:rPr>
        <w:t xml:space="preserve">Social Worker</w:t>
      </w:r>
      <w:r>
        <w:t xml:space="preserve"> </w:t>
      </w:r>
      <w:r>
        <w:t xml:space="preserve">approached this case using a multidimensional framework. The first step was not emotional counseling, but practical advocacy. The social worker helped Elena translate essential documents and accompanied her to appointments where the bureaucracy was impersonal and cold. This represents a core function of modern social work in Germany: acting as a cultural and linguistic bridge.</w:t>
      </w:r>
    </w:p>
    <w:bookmarkEnd w:id="21"/>
    <w:bookmarkStart w:id="22" w:name="X655924aebb7700781439746eab277ae7b410995"/>
    <w:p>
      <w:pPr>
        <w:pStyle w:val="Heading2"/>
      </w:pPr>
      <w:r>
        <w:t xml:space="preserve">The Structural Context of Social Work in Germany Frankfurt</w:t>
      </w:r>
    </w:p>
    <w:p>
      <w:pPr>
        <w:pStyle w:val="FirstParagraph"/>
      </w:pPr>
      <w:r>
        <w:t xml:space="preserve">The effectiveness of any intervention by a</w:t>
      </w:r>
      <w:r>
        <w:t xml:space="preserve"> </w:t>
      </w:r>
      <w:r>
        <w:rPr>
          <w:bCs/>
          <w:b/>
        </w:rPr>
        <w:t xml:space="preserve">Social Worker</w:t>
      </w:r>
      <w:r>
        <w:t xml:space="preserve"> </w:t>
      </w:r>
      <w:r>
        <w:t xml:space="preserve">is heavily dependent on the structural landscape of</w:t>
      </w:r>
      <w:r>
        <w:t xml:space="preserve"> </w:t>
      </w:r>
      <w:r>
        <w:rPr>
          <w:bCs/>
          <w:b/>
        </w:rPr>
        <w:t xml:space="preserve">Germany Frankfurt</w:t>
      </w:r>
      <w:r>
        <w:t xml:space="preserve">. The city operates under the principles of "Subsidiarity," where free welfare associations (such as Caritas, Diakonie, or AWO) partner with the state to deliver services. This creates a robust network but also a fragmented one.</w:t>
      </w:r>
    </w:p>
    <w:p>
      <w:pPr>
        <w:pStyle w:val="BodyText"/>
      </w:pPr>
      <w:r>
        <w:t xml:space="preserve">In this case study, we observe that the</w:t>
      </w:r>
      <w:r>
        <w:t xml:space="preserve"> </w:t>
      </w:r>
      <w:r>
        <w:rPr>
          <w:bCs/>
          <w:b/>
        </w:rPr>
        <w:t xml:space="preserve">Social Worker</w:t>
      </w:r>
      <w:r>
        <w:t xml:space="preserve"> </w:t>
      </w:r>
      <w:r>
        <w:t xml:space="preserve">had to coordinate across these entities. For instance, while the state provided financial benefits (Bürgergeld), finding actual housing required navigating private landlords who were often hesitant to accept tenants with refugee status or limited credit history. The social worker utilized Frankfurt-specific programs designed to encourage landlords to rent to refugees, a task that requires deep local knowledge and negotiation skills.</w:t>
      </w:r>
    </w:p>
    <w:p>
      <w:pPr>
        <w:pStyle w:val="BodyText"/>
      </w:pPr>
      <w:r>
        <w:t xml:space="preserve">Furthermore, the high density of migrants in</w:t>
      </w:r>
      <w:r>
        <w:t xml:space="preserve"> </w:t>
      </w:r>
      <w:r>
        <w:rPr>
          <w:bCs/>
          <w:b/>
        </w:rPr>
        <w:t xml:space="preserve">Germany Frankfurt</w:t>
      </w:r>
      <w:r>
        <w:t xml:space="preserve"> </w:t>
      </w:r>
      <w:r>
        <w:t xml:space="preserve">means that resources are stretched thin. The</w:t>
      </w:r>
      <w:r>
        <w:t xml:space="preserve"> </w:t>
      </w:r>
      <w:r>
        <w:rPr>
          <w:bCs/>
          <w:b/>
        </w:rPr>
        <w:t xml:space="preserve">Social Worker</w:t>
      </w:r>
      <w:r>
        <w:t xml:space="preserve"> </w:t>
      </w:r>
      <w:r>
        <w:t xml:space="preserve">must prioritize cases based on urgency. Elena’s case was deemed high priority due to her young children's need for school integration (Schulintegration). This highlights a key theme: Social work here is not just about survival; it is about social cohesion.</w:t>
      </w:r>
    </w:p>
    <w:bookmarkEnd w:id="22"/>
    <w:bookmarkStart w:id="23" w:name="Xd0ce28bb04f2f57724f3be9bdaa136c855daa14"/>
    <w:p>
      <w:pPr>
        <w:pStyle w:val="Heading2"/>
      </w:pPr>
      <w:r>
        <w:t xml:space="preserve">The Role of the Social Worker in Crisis and Prevention</w:t>
      </w:r>
    </w:p>
    <w:p>
      <w:pPr>
        <w:pStyle w:val="FirstParagraph"/>
      </w:pPr>
      <w:r>
        <w:t xml:space="preserve">A significant aspect of this case study is the dual role of prevention. In</w:t>
      </w:r>
      <w:r>
        <w:t xml:space="preserve"> </w:t>
      </w:r>
      <w:r>
        <w:rPr>
          <w:bCs/>
          <w:b/>
        </w:rPr>
        <w:t xml:space="preserve">Germany Frankfurt</w:t>
      </w:r>
      <w:r>
        <w:t xml:space="preserve">, early intervention prevents long-term dependency on state benefits. The</w:t>
      </w:r>
      <w:r>
        <w:t xml:space="preserve"> </w:t>
      </w:r>
      <w:r>
        <w:rPr>
          <w:bCs/>
          <w:b/>
        </w:rPr>
        <w:t xml:space="preserve">Social Worker</w:t>
      </w:r>
      <w:r>
        <w:t xml:space="preserve"> </w:t>
      </w:r>
      <w:r>
        <w:t xml:space="preserve">connected Elena to "Mentorship" programs where native speakers practiced German with her, and to vocational training centers that recognized foreign qualifications.</w:t>
      </w:r>
    </w:p>
    <w:p>
      <w:pPr>
        <w:pStyle w:val="BodyText"/>
      </w:pPr>
      <w:r>
        <w:t xml:space="preserve">This proactive approach distinguishes the modern</w:t>
      </w:r>
      <w:r>
        <w:t xml:space="preserve"> </w:t>
      </w:r>
      <w:r>
        <w:rPr>
          <w:bCs/>
          <w:b/>
        </w:rPr>
        <w:t xml:space="preserve">Social Worker</w:t>
      </w:r>
      <w:r>
        <w:t xml:space="preserve"> </w:t>
      </w:r>
      <w:r>
        <w:t xml:space="preserve">in this region from historical models of charity. The goal is autonomy. By addressing the root causes of exclusion—namely language and certification—the social worker in Frankfurt ensures that individuals like Elena can eventually contribute to the local economy, reinforcing the social contract.</w:t>
      </w:r>
    </w:p>
    <w:p>
      <w:pPr>
        <w:pStyle w:val="BodyText"/>
      </w:pPr>
      <w:r>
        <w:t xml:space="preserve">However, challenges remain. The psychological toll on both clients and workers is evident. Dealing with trauma from displacement requires a level of sensitivity that goes beyond standard administrative support. The</w:t>
      </w:r>
      <w:r>
        <w:t xml:space="preserve"> </w:t>
      </w:r>
      <w:r>
        <w:rPr>
          <w:bCs/>
          <w:b/>
        </w:rPr>
        <w:t xml:space="preserve">Social Worker</w:t>
      </w:r>
      <w:r>
        <w:t xml:space="preserve"> </w:t>
      </w:r>
      <w:r>
        <w:t xml:space="preserve">in Frankfurt often serves as the primary point of contact for mental health referrals, acting as a triage officer for psychological well-being in a city where access to therapy can be lengthy.</w:t>
      </w:r>
    </w:p>
    <w:bookmarkEnd w:id="23"/>
    <w:bookmarkStart w:id="25" w:name="conclusion-a-model-for-urban-integration"/>
    <w:p>
      <w:pPr>
        <w:pStyle w:val="Heading2"/>
      </w:pPr>
      <w:r>
        <w:t xml:space="preserve">Conclusion: A Model for Urban Integration</w:t>
      </w:r>
    </w:p>
    <w:p>
      <w:pPr>
        <w:pStyle w:val="FirstParagraph"/>
      </w:pPr>
      <w:r>
        <w:t xml:space="preserve">This case study demonstrates that the</w:t>
      </w:r>
      <w:r>
        <w:t xml:space="preserve"> </w:t>
      </w:r>
      <w:r>
        <w:rPr>
          <w:bCs/>
          <w:b/>
        </w:rPr>
        <w:t xml:space="preserve">Social Worker</w:t>
      </w:r>
      <w:r>
        <w:t xml:space="preserve"> </w:t>
      </w:r>
      <w:r>
        <w:t xml:space="preserve">in</w:t>
      </w:r>
      <w:r>
        <w:t xml:space="preserve"> </w:t>
      </w:r>
      <w:r>
        <w:rPr>
          <w:bCs/>
          <w:b/>
        </w:rPr>
        <w:t xml:space="preserve">Germany Frankfurt</w:t>
      </w:r>
      <w:r>
        <w:t xml:space="preserve"> </w:t>
      </w:r>
      <w:r>
        <w:t xml:space="preserve">operates at the intersection of law, economy, and human dignity. They are essential agents in maintaining social stability within one of Europe's most diverse cities.</w:t>
      </w:r>
    </w:p>
    <w:p>
      <w:pPr>
        <w:pStyle w:val="BodyText"/>
      </w:pPr>
      <w:r>
        <w:t xml:space="preserve">The complexity of the German legal system, combined with the specific demographic pressures of Frankfurt am Main, creates a unique environment for social work practice. Success in this field requires not only empathy but also administrative prowess and cultural competency. As</w:t>
      </w:r>
      <w:r>
        <w:t xml:space="preserve"> </w:t>
      </w:r>
      <w:r>
        <w:rPr>
          <w:bCs/>
          <w:b/>
        </w:rPr>
        <w:t xml:space="preserve">Germany Frankfurt</w:t>
      </w:r>
      <w:r>
        <w:t xml:space="preserve"> </w:t>
      </w:r>
      <w:r>
        <w:t xml:space="preserve">continues to grow as a migration hub, the role of the</w:t>
      </w:r>
      <w:r>
        <w:t xml:space="preserve"> </w:t>
      </w:r>
      <w:r>
        <w:rPr>
          <w:bCs/>
          <w:b/>
        </w:rPr>
        <w:t xml:space="preserve">Social Worker</w:t>
      </w:r>
      <w:r>
        <w:t xml:space="preserve"> </w:t>
      </w:r>
      <w:r>
        <w:t xml:space="preserve">will become increasingly pivotal in ensuring that economic prosperity is matched by social inclusion.</w:t>
      </w:r>
    </w:p>
    <w:p>
      <w:pPr>
        <w:pStyle w:val="BodyText"/>
      </w:pPr>
      <w:r>
        <w:t xml:space="preserve">The lessons from Elena’s case are universal yet locally specific: effective social work requires localized knowledge of municipal resources and an unwavering commitment to advocating for the individual within a massive bureaucratic machine.</w:t>
      </w:r>
    </w:p>
    <w:bookmarkStart w:id="24" w:name="recommendations-for-future-practice"/>
    <w:p>
      <w:pPr>
        <w:pStyle w:val="Heading3"/>
      </w:pPr>
      <w:r>
        <w:t xml:space="preserve">Recommendations for Future Practice</w:t>
      </w:r>
    </w:p>
    <w:p>
      <w:pPr>
        <w:numPr>
          <w:ilvl w:val="0"/>
          <w:numId w:val="1001"/>
        </w:numPr>
        <w:pStyle w:val="Compact"/>
      </w:pPr>
      <w:r>
        <w:rPr>
          <w:bCs/>
          <w:b/>
        </w:rPr>
        <w:t xml:space="preserve">Digital Integration:</w:t>
      </w:r>
      <w:r>
        <w:br/>
      </w:r>
      <w:r>
        <w:t xml:space="preserve">Social workers in Frankfurt must increasingly master digital tools to navigate online citizen portals, which are standardizing government interactions.</w:t>
      </w:r>
    </w:p>
    <w:p>
      <w:pPr>
        <w:numPr>
          <w:ilvl w:val="0"/>
          <w:numId w:val="1001"/>
        </w:numPr>
        <w:pStyle w:val="Compact"/>
      </w:pPr>
      <w:r>
        <w:t xml:space="preserve">Cultural Competency Training:Continued training for social workers on the specific cultural backgrounds of recent migrant waves is essential for effective communication.</w:t>
      </w:r>
    </w:p>
    <w:p>
      <w:pPr>
        <w:numPr>
          <w:ilvl w:val="0"/>
          <w:numId w:val="1001"/>
        </w:numPr>
        <w:pStyle w:val="Compact"/>
      </w:pPr>
      <w:r>
        <w:rPr>
          <w:bCs/>
          <w:b/>
        </w:rPr>
        <w:t xml:space="preserve">Housing Advocacy:</w:t>
      </w:r>
      <w:r>
        <w:br/>
      </w:r>
      <w:r>
        <w:t xml:space="preserve">Collaborative efforts between social services and housing authorities in Frankfurt must be strengthened to ensure adequate shelter rights are upheld.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Germany Frankfurt</dc:title>
  <dc:creator/>
  <dc:language>en</dc:language>
  <cp:keywords/>
  <dcterms:created xsi:type="dcterms:W3CDTF">2026-07-29T10:25:27Z</dcterms:created>
  <dcterms:modified xsi:type="dcterms:W3CDTF">2026-07-29T10:25:27Z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