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Rebuilding</w:t>
      </w:r>
      <w:r>
        <w:t xml:space="preserve"> </w:t>
      </w:r>
      <w:r>
        <w:t xml:space="preserve">Community</w:t>
      </w:r>
      <w:r>
        <w:t xml:space="preserve"> </w:t>
      </w:r>
      <w:r>
        <w:t xml:space="preserve">Resilience</w:t>
      </w:r>
      <w:r>
        <w:t xml:space="preserve"> </w:t>
      </w:r>
      <w:r>
        <w:t xml:space="preserve">in</w:t>
      </w:r>
      <w:r>
        <w:t xml:space="preserve"> </w:t>
      </w:r>
      <w:r>
        <w:t xml:space="preserve">Iraq</w:t>
      </w:r>
      <w:r>
        <w:t xml:space="preserve"> </w:t>
      </w:r>
      <w:r>
        <w:t xml:space="preserve">Baghdad</w:t>
      </w:r>
    </w:p>
    <w:bookmarkStart w:id="32" w:name="X2ec9cc39000b369164e582d06bd2892f1309c42"/>
    <w:p>
      <w:pPr>
        <w:pStyle w:val="Heading1"/>
      </w:pPr>
      <w:r>
        <w:t xml:space="preserve">Case Study: The Role of the Social Worker in Rebuilding Community Resilience in Iraq Baghdad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Baghdad, Iraq</w:t>
      </w:r>
      <w:r>
        <w:br/>
      </w:r>
      <w:r>
        <w:rPr>
          <w:bCs/>
          <w:b/>
        </w:rPr>
        <w:t xml:space="preserve">Type:</w:t>
      </w:r>
      <w:r>
        <w:t xml:space="preserve"> </w:t>
      </w:r>
      <w:r>
        <w:t xml:space="preserve">Qualitative Case Study / Program Evaluation</w:t>
      </w:r>
      <w:r>
        <w:br/>
      </w:r>
      <w:r>
        <w:br/>
      </w:r>
      <w:r>
        <w:t xml:space="preserve">This document explores the critical interventions of the Social Worker within the complex socio-political landscape of post-conflict Baghdad. It analyzes how targeted social services contribute to trauma recovery, community cohesion, and economic stabilization in one of the most challenging urban environments in the Middle East.</w:t>
      </w:r>
    </w:p>
    <w:bookmarkStart w:id="20" w:name="introduction-and-contextual-background"/>
    <w:p>
      <w:pPr>
        <w:pStyle w:val="Heading2"/>
      </w:pPr>
      <w:r>
        <w:t xml:space="preserve">1. Introduction and Contextual Background</w:t>
      </w:r>
    </w:p>
    <w:p>
      <w:pPr>
        <w:pStyle w:val="FirstParagraph"/>
      </w:pPr>
      <w:r>
        <w:t xml:space="preserve">To understand the necessity of professional intervention in this region, one must first examine the historical and current realities facing **Iraq Baghdad**. For decades, the capital city has endured cycles of conflict, sanctions, political instability, and sectarian violence. While physical reconstruction has occurred in many districts—from Karrada to Sadr City—the psychological infrastructure remains fractured. The collective trauma experienced by families who have lost loved ones to suicide bombings, gunfire is profound and intergenerational.</w:t>
      </w:r>
    </w:p>
    <w:p>
      <w:pPr>
        <w:pStyle w:val="BodyText"/>
      </w:pPr>
      <w:r>
        <w:t xml:space="preserve">In this context, the **Social Worker** emerges not merely as a caseworker but as a pivotal agent of change. Unlike in stable Western societies where social work often focuses on long-term developmental issues, the practice of social work in **Iraq Baghdad** is characterized by emergency response, crisis management, and deep community mediation. The environment is volatile; therefore, the methodology employed by the Social Worker must be adaptive, culturally sensitive, and deeply embedded within local tribal and family structures.</w:t>
      </w:r>
    </w:p>
    <w:bookmarkEnd w:id="20"/>
    <w:bookmarkStart w:id="23" w:name="case-profile-the-family-of-ahmed"/>
    <w:p>
      <w:pPr>
        <w:pStyle w:val="Heading2"/>
      </w:pPr>
      <w:r>
        <w:t xml:space="preserve">2. Case Profile: "The Family of Ahmed"</w:t>
      </w:r>
    </w:p>
    <w:p>
      <w:pPr>
        <w:pStyle w:val="FirstParagraph"/>
      </w:pPr>
      <w:r>
        <w:t xml:space="preserve">To illustrate the practical application of social work principles in **Iraq Baghdad**, we examine a representative case study involving a household in the Al-Sadr City district, an area that saw intense fighting during previous conflicts.</w:t>
      </w:r>
    </w:p>
    <w:bookmarkStart w:id="21" w:name="client-demographics"/>
    <w:p>
      <w:pPr>
        <w:pStyle w:val="Heading3"/>
      </w:pPr>
      <w:r>
        <w:t xml:space="preserve">2.1 Client Demographics</w:t>
      </w:r>
    </w:p>
    <w:p>
      <w:pPr>
        <w:numPr>
          <w:ilvl w:val="0"/>
          <w:numId w:val="1001"/>
        </w:numPr>
        <w:pStyle w:val="Compact"/>
      </w:pPr>
      <w:r>
        <w:rPr>
          <w:bCs/>
          <w:b/>
        </w:rPr>
        <w:t xml:space="preserve">Patient ID:</w:t>
      </w:r>
      <w:r>
        <w:t xml:space="preserve"> </w:t>
      </w:r>
      <w:r>
        <w:t xml:space="preserve">AH-2024-09 (Anonymous)</w:t>
      </w:r>
    </w:p>
    <w:p>
      <w:pPr>
        <w:numPr>
          <w:ilvl w:val="0"/>
          <w:numId w:val="1001"/>
        </w:numPr>
        <w:pStyle w:val="Compact"/>
      </w:pPr>
      <w:r>
        <w:rPr>
          <w:bCs/>
          <w:b/>
        </w:rPr>
        <w:t xml:space="preserve">Locus:</w:t>
      </w:r>
      <w:r>
        <w:t xml:space="preserve"> </w:t>
      </w:r>
      <w:r>
        <w:t xml:space="preserve">Al-Sadr City, Baghdad</w:t>
      </w:r>
    </w:p>
    <w:p>
      <w:pPr>
        <w:numPr>
          <w:ilvl w:val="0"/>
          <w:numId w:val="1001"/>
        </w:numPr>
        <w:pStyle w:val="Compact"/>
      </w:pPr>
      <w:r>
        <w:rPr>
          <w:bCs/>
          <w:b/>
        </w:rPr>
        <w:t xml:space="preserve">Status:</w:t>
      </w:r>
      <w:r>
        <w:t xml:space="preserve"> </w:t>
      </w:r>
      <w:r>
        <w:t xml:space="preserve">Displaced Family Returnee</w:t>
      </w:r>
    </w:p>
    <w:p>
      <w:pPr>
        <w:pStyle w:val="FirstParagraph"/>
      </w:pPr>
      <w:r>
        <w:t xml:space="preserve">The case involves Ahmed, a 35-year-old former teacher who was internally displaced for three years during the rise of extremist groups. Upon returning to **Iraq Baghdad**, his family found themselves in a deteriorated neighborhood with limited access to basic services. The primary clients are Ahmed, his wife Layla, and their two children: Youssef (12) and Mariam (8).</w:t>
      </w:r>
    </w:p>
    <w:bookmarkEnd w:id="21"/>
    <w:bookmarkStart w:id="22" w:name="presenting-problems"/>
    <w:p>
      <w:pPr>
        <w:pStyle w:val="Heading3"/>
      </w:pPr>
      <w:r>
        <w:t xml:space="preserve">2.2 Presenting Problems</w:t>
      </w:r>
    </w:p>
    <w:p>
      <w:pPr>
        <w:pStyle w:val="FirstParagraph"/>
      </w:pPr>
      <w:r>
        <w:t xml:space="preserve">The family presented with multiple overlapping issues typical of the post-displacement experience in **Iraq Baghdad**:</w:t>
      </w:r>
    </w:p>
    <w:p>
      <w:pPr>
        <w:numPr>
          <w:ilvl w:val="0"/>
          <w:numId w:val="1002"/>
        </w:numPr>
        <w:pStyle w:val="Compact"/>
      </w:pPr>
      <w:r>
        <w:rPr>
          <w:bCs/>
          <w:b/>
        </w:rPr>
        <w:t xml:space="preserve">Psychological Trauma:</w:t>
      </w:r>
      <w:r>
        <w:t xml:space="preserve"> </w:t>
      </w:r>
      <w:r>
        <w:t xml:space="preserve">Youssef exhibited severe anxiety and flashbacks, refusing to attend school due to fear of loud noises. Layla suffered from depressive symptoms related to loss of social status and economic insecurity.</w:t>
      </w:r>
    </w:p>
    <w:p>
      <w:pPr>
        <w:numPr>
          <w:ilvl w:val="0"/>
          <w:numId w:val="1002"/>
        </w:numPr>
        <w:pStyle w:val="Compact"/>
      </w:pPr>
      <w:r>
        <w:rPr>
          <w:bCs/>
          <w:b/>
        </w:rPr>
        <w:t xml:space="preserve">Economic Instability:</w:t>
      </w:r>
      <w:r>
        <w:t xml:space="preserve"> </w:t>
      </w:r>
      <w:r>
        <w:t xml:space="preserve">Ahmed had been unemployed for over two years, leading to a loss of masculine identity and increased domestic tension.</w:t>
      </w:r>
    </w:p>
    <w:p>
      <w:pPr>
        <w:numPr>
          <w:ilvl w:val="0"/>
          <w:numId w:val="1002"/>
        </w:numPr>
        <w:pStyle w:val="Compact"/>
      </w:pPr>
      <w:r>
        <w:rPr>
          <w:bCs/>
          <w:b/>
        </w:rPr>
        <w:t xml:space="preserve">Social Fragmentation:</w:t>
      </w:r>
      <w:r>
        <w:t xml:space="preserve"> </w:t>
      </w:r>
      <w:r>
        <w:t xml:space="preserve">The family felt isolated. Their previous social networks had been disrupted by displacement, and they faced suspicion from neighbors who suspected them of collaborating with opposing factions due to their absence.</w:t>
      </w:r>
    </w:p>
    <w:bookmarkEnd w:id="22"/>
    <w:bookmarkEnd w:id="23"/>
    <w:bookmarkStart w:id="28" w:name="X14ddfdb689e7f0d6d2285cab4d56f86ba22cdd5"/>
    <w:p>
      <w:pPr>
        <w:pStyle w:val="Heading2"/>
      </w:pPr>
      <w:r>
        <w:t xml:space="preserve">3. Intervention Strategy: The Role of the Social Worker</w:t>
      </w:r>
    </w:p>
    <w:p>
      <w:pPr>
        <w:pStyle w:val="FirstParagraph"/>
      </w:pPr>
      <w:r>
        <w:t xml:space="preserve">The intervention was led by a licensed **Social Worker** employed by an international NGO partnered with local Iraqi ministries. The approach utilized a "Bio-Psycho-Social" model, adapted for the cultural specificities of Mesopotamian society.</w:t>
      </w:r>
    </w:p>
    <w:bookmarkStart w:id="24" w:name="Xb81612ce0a111dea435c64e4a497d24b7545382"/>
    <w:p>
      <w:pPr>
        <w:pStyle w:val="Heading3"/>
      </w:pPr>
      <w:r>
        <w:t xml:space="preserve">3.1 Phase One: Crisis Stabilization and Trust Building</w:t>
      </w:r>
    </w:p>
    <w:p>
      <w:pPr>
        <w:pStyle w:val="FirstParagraph"/>
      </w:pPr>
      <w:r>
        <w:t xml:space="preserve">The initial phase focused on establishing rapport. In **Iraq Baghdad**, trust is rarely given freely to outsiders; it must be earned through community elders and local leaders. The Social Worker first engaged with the neighborhood council (*Majlis*) to gain legitimacy. Only then did they initiate home visits.</w:t>
      </w:r>
    </w:p>
    <w:p>
      <w:pPr>
        <w:pStyle w:val="BodyText"/>
      </w:pPr>
      <w:r>
        <w:t xml:space="preserve">The Social Worker’s primary role here was that of a</w:t>
      </w:r>
      <w:r>
        <w:t xml:space="preserve"> </w:t>
      </w:r>
      <w:r>
        <w:rPr>
          <w:iCs/>
          <w:i/>
        </w:rPr>
        <w:t xml:space="preserve">Listener</w:t>
      </w:r>
      <w:r>
        <w:t xml:space="preserve">. By providing a safe, confidential space for Layla and Ahmed to recount their displacement stories without judgment, the professional helped mitigate acute stress. This validation is crucial in a culture where suffering is often endured silently.</w:t>
      </w:r>
    </w:p>
    <w:bookmarkEnd w:id="24"/>
    <w:bookmarkStart w:id="25" w:name="X95c6849aa5584c9cf421276ef13629afd1765e6"/>
    <w:p>
      <w:pPr>
        <w:pStyle w:val="Heading3"/>
      </w:pPr>
      <w:r>
        <w:t xml:space="preserve">3.2 Phase Two: Psychosocial Support and Education</w:t>
      </w:r>
    </w:p>
    <w:p>
      <w:pPr>
        <w:pStyle w:val="FirstParagraph"/>
      </w:pPr>
      <w:r>
        <w:t xml:space="preserve">To address Youssef’s trauma, the Social Worker collaborated with child protection specialists to implement "Play Therapy" techniques adapted for the local context. Instead of Western clinical terms, these were framed as "storytelling circles." The Social Worker educated Ahmed on how noise triggers his son’s PTSD, enabling the father to become a supportive ally rather than an enforcer of discipline.</w:t>
      </w:r>
    </w:p>
    <w:p>
      <w:pPr>
        <w:pStyle w:val="BodyText"/>
      </w:pPr>
      <w:r>
        <w:t xml:space="preserve">Simultaneously, Layla was connected to a women’s group in **Iraq Baghdad**. These groups provide both emotional support and skills training. For Layla, this meant learning tailoring skills. The Social Worker facilitated her enrollment in a micro-finance program, bridging the gap between humanitarian aid and sustainable economic development.</w:t>
      </w:r>
    </w:p>
    <w:bookmarkEnd w:id="25"/>
    <w:bookmarkStart w:id="26" w:name="phase-three-economic-empowerment"/>
    <w:p>
      <w:pPr>
        <w:pStyle w:val="Heading3"/>
      </w:pPr>
      <w:r>
        <w:t xml:space="preserve">3.3 Phase Three: Economic Empowerment</w:t>
      </w:r>
    </w:p>
    <w:p>
      <w:pPr>
        <w:pStyle w:val="FirstParagraph"/>
      </w:pPr>
      <w:r>
        <w:t xml:space="preserve">Economic stability is inextricably linked to mental health in **Iraq Baghdad**. The Social Worker conducted a comprehensive assessment of Ahmed’s skills. Recognizing his background as a teacher, the Social Worker advocated for him within the local education department, helping him navigate bureaucratic hurdles to secure a temporary teaching position at an overcrowded public school.</w:t>
      </w:r>
    </w:p>
    <w:p>
      <w:pPr>
        <w:pStyle w:val="BodyText"/>
      </w:pPr>
      <w:r>
        <w:t xml:space="preserve">This intervention did more than provide income; it restored Ahmed’s dignity and social standing. The **Social Worker** acted as an advocate, negotiating with local authorities on behalf of vulnerable citizens who often lack the administrative literacy to access state services.</w:t>
      </w:r>
    </w:p>
    <w:bookmarkEnd w:id="26"/>
    <w:bookmarkStart w:id="27" w:name="phase-four-community-reintegration"/>
    <w:p>
      <w:pPr>
        <w:pStyle w:val="Heading3"/>
      </w:pPr>
      <w:r>
        <w:t xml:space="preserve">3.4 Phase Four: Community Reintegration</w:t>
      </w:r>
    </w:p>
    <w:p>
      <w:pPr>
        <w:pStyle w:val="FirstParagraph"/>
      </w:pPr>
      <w:r>
        <w:t xml:space="preserve">The final phase involved reconciling the family with their neighbors. The Social Worker organized a community "clean-up day" in Al-Sadr City, inviting Ahmed and his family to participate alongside other returnees and long-term residents. This shared labor helped dissolve suspicions and rebuilt social capital. It transformed the narrative from one of "suspicion" to one of "shared recovery."</w:t>
      </w:r>
    </w:p>
    <w:bookmarkEnd w:id="27"/>
    <w:bookmarkEnd w:id="28"/>
    <w:bookmarkStart w:id="29" w:name="analysis-of-outcomes"/>
    <w:p>
      <w:pPr>
        <w:pStyle w:val="Heading2"/>
      </w:pPr>
      <w:r>
        <w:t xml:space="preserve">4. Analysis of Outcomes</w:t>
      </w:r>
    </w:p>
    <w:p>
      <w:pPr>
        <w:pStyle w:val="FirstParagraph"/>
      </w:pPr>
      <w:r>
        <w:t xml:space="preserve">Six months post-intervention, the case demonstrated significant positive indicators:</w:t>
      </w:r>
    </w:p>
    <w:p>
      <w:pPr>
        <w:numPr>
          <w:ilvl w:val="0"/>
          <w:numId w:val="1003"/>
        </w:numPr>
        <w:pStyle w:val="Compact"/>
      </w:pPr>
      <w:r>
        <w:rPr>
          <w:bCs/>
          <w:b/>
        </w:rPr>
        <w:t xml:space="preserve">Psychological:</w:t>
      </w:r>
      <w:r>
        <w:t xml:space="preserve"> </w:t>
      </w:r>
      <w:r>
        <w:t xml:space="preserve">Youssef’s sleep patterns normalized, and he returned to school with reduced anxiety.</w:t>
      </w:r>
    </w:p>
    <w:p>
      <w:pPr>
        <w:numPr>
          <w:ilvl w:val="0"/>
          <w:numId w:val="1003"/>
        </w:numPr>
        <w:pStyle w:val="Compact"/>
      </w:pPr>
      <w:r>
        <w:rPr>
          <w:bCs/>
          <w:b/>
        </w:rPr>
        <w:t xml:space="preserve">Economic:</w:t>
      </w:r>
      <w:r>
        <w:t xml:space="preserve"> </w:t>
      </w:r>
      <w:r>
        <w:t xml:space="preserve">The family income increased by 40%, alleviating the primary source of domestic conflict.</w:t>
      </w:r>
    </w:p>
    <w:p>
      <w:pPr>
        <w:pStyle w:val="FirstParagraph"/>
      </w:pPr>
      <w:r>
        <w:t xml:space="preserve">This case study highlights that the **Social Worker** in **Iraq Baghdad** operates at the intersection of clinical psychology, social advocacy, and community organizing. They do not treat individuals in a vacuum; they treat families within their ecological systems.</w:t>
      </w:r>
    </w:p>
    <w:bookmarkEnd w:id="29"/>
    <w:bookmarkStart w:id="30" w:name="X3b12ac6d9016fbc3c578f7558ed768ad6dc3a78"/>
    <w:p>
      <w:pPr>
        <w:pStyle w:val="Heading2"/>
      </w:pPr>
      <w:r>
        <w:t xml:space="preserve">5. Challenges Faced by Social Workers in Iraq Baghdad</w:t>
      </w:r>
    </w:p>
    <w:p>
      <w:pPr>
        <w:pStyle w:val="FirstParagraph"/>
      </w:pPr>
      <w:r>
        <w:t xml:space="preserve">The implementation of these interventions was not without obstacles:</w:t>
      </w:r>
    </w:p>
    <w:p>
      <w:pPr>
        <w:pStyle w:val="BodyText"/>
      </w:pPr>
      <w:r>
        <w:rPr>
          <w:bCs/>
          <w:b/>
        </w:rPr>
        <w:t xml:space="preserve">Safety Concerns:</w:t>
      </w:r>
    </w:p>
    <w:p>
      <w:pPr>
        <w:numPr>
          <w:ilvl w:val="0"/>
          <w:numId w:val="1004"/>
        </w:numPr>
        <w:pStyle w:val="Compact"/>
      </w:pPr>
      <w:r>
        <w:t xml:space="preserve">The unpredictable security situation in various districts of **Iraq Baghdad** sometimes restricted mobility, requiring the Social Worker to rely on tele-counseling or local proxies during volatile periods.</w:t>
      </w:r>
    </w:p>
    <w:p>
      <w:pPr>
        <w:pStyle w:val="FirstParagraph"/>
      </w:pPr>
      <w:r>
        <w:rPr>
          <w:bCs/>
          <w:b/>
        </w:rPr>
        <w:t xml:space="preserve">Cultural Sensitivity:</w:t>
      </w:r>
    </w:p>
    <w:p>
      <w:pPr>
        <w:numPr>
          <w:ilvl w:val="0"/>
          <w:numId w:val="1005"/>
        </w:numPr>
        <w:pStyle w:val="Compact"/>
      </w:pPr>
      <w:r>
        <w:t xml:space="preserve">Navigating gender roles required immense tact. Female clients often required female **Social Workers**, while male clients preferred male counselors. Cross-gender dynamics had to be managed carefully to respect Islamic norms while ensuring equitable service delivery.</w:t>
      </w:r>
    </w:p>
    <w:p>
      <w:pPr>
        <w:pStyle w:val="FirstParagraph"/>
      </w:pPr>
      <w:r>
        <w:rPr>
          <w:bCs/>
          <w:b/>
        </w:rPr>
        <w:t xml:space="preserve">Resource Scarcity:</w:t>
      </w:r>
    </w:p>
    <w:p>
      <w:pPr>
        <w:numPr>
          <w:ilvl w:val="0"/>
          <w:numId w:val="1006"/>
        </w:numPr>
        <w:pStyle w:val="Compact"/>
      </w:pPr>
      <w:r>
        <w:t xml:space="preserve">The strain on mental health infrastructure in **Iraq Baghdad** is high. Social Workers often act as the first line of defense, lacking sufficient referral networks for severe psychiatric cases requiring hospitalization.</w:t>
      </w:r>
    </w:p>
    <w:bookmarkEnd w:id="30"/>
    <w:bookmarkStart w:id="31" w:name="conclusion-and-recommendations"/>
    <w:p>
      <w:pPr>
        <w:pStyle w:val="Heading2"/>
      </w:pPr>
      <w:r>
        <w:t xml:space="preserve">6. Conclusion and Recommendations</w:t>
      </w:r>
    </w:p>
    <w:p>
      <w:pPr>
        <w:pStyle w:val="FirstParagraph"/>
      </w:pPr>
      <w:r>
        <w:t xml:space="preserve">The case of "Ahmed’s Family" serves as a microcosm for the broader challenges facing **Iraq Baghdad**. It demonstrates that traditional humanitarian aid—food, water, shelter—is insufficient without the human-centric approach provided by the **Social Worker**.</w:t>
      </w:r>
    </w:p>
    <w:p>
      <w:pPr>
        <w:pStyle w:val="BodyText"/>
      </w:pPr>
      <w:r>
        <w:t xml:space="preserve">Social workers in this region are essential for:</w:t>
      </w:r>
    </w:p>
    <w:p>
      <w:pPr>
        <w:numPr>
          <w:ilvl w:val="0"/>
          <w:numId w:val="1007"/>
        </w:numPr>
        <w:pStyle w:val="Compact"/>
      </w:pPr>
      <w:r>
        <w:t xml:space="preserve">Mitigating intergenerational trauma.</w:t>
      </w:r>
    </w:p>
    <w:p>
      <w:pPr>
        <w:numPr>
          <w:ilvl w:val="0"/>
          <w:numId w:val="1007"/>
        </w:numPr>
        <w:pStyle w:val="Compact"/>
      </w:pPr>
      <w:r>
        <w:t xml:space="preserve">Fostering social cohesion in fragmented societies.</w:t>
      </w:r>
    </w:p>
    <w:p>
      <w:pPr>
        <w:numPr>
          <w:ilvl w:val="0"/>
          <w:numId w:val="1007"/>
        </w:numPr>
        <w:pStyle w:val="Compact"/>
      </w:pPr>
      <w:r>
        <w:t xml:space="preserve">Bridging the gap between state institutions and marginalized populations.</w:t>
      </w:r>
    </w:p>
    <w:p>
      <w:pPr>
        <w:pStyle w:val="FirstParagraph"/>
      </w:pPr>
      <w:r>
        <w:rPr>
          <w:bCs/>
          <w:b/>
        </w:rPr>
        <w:t xml:space="preserve">Recommendations:</w:t>
      </w:r>
    </w:p>
    <w:p>
      <w:pPr>
        <w:numPr>
          <w:ilvl w:val="0"/>
          <w:numId w:val="1008"/>
        </w:numPr>
        <w:pStyle w:val="Compact"/>
      </w:pPr>
      <w:r>
        <w:rPr>
          <w:bCs/>
          <w:b/>
        </w:rPr>
        <w:t xml:space="preserve">Increase Funding for Local NGOs:</w:t>
      </w:r>
      <w:r>
        <w:t xml:space="preserve"> </w:t>
      </w:r>
      <w:r>
        <w:t xml:space="preserve">International donors should prioritize funding local Iraqi social service organizations over international intermediaries, as they possess the cultural nuance required for effective work in **Iraq Baghdad**.</w:t>
      </w:r>
    </w:p>
    <w:p>
      <w:pPr>
        <w:numPr>
          <w:ilvl w:val="0"/>
          <w:numId w:val="1008"/>
        </w:numPr>
        <w:pStyle w:val="Compact"/>
      </w:pPr>
      <w:r>
        <w:rPr>
          <w:bCs/>
          <w:b/>
        </w:rPr>
        <w:t xml:space="preserve">Mental Health Integration:</w:t>
      </w:r>
      <w:r>
        <w:t xml:space="preserve"> </w:t>
      </w:r>
      <w:r>
        <w:t xml:space="preserve">Mental health services must be integrated into primary healthcare centers to reduce stigma and improve accessibility.</w:t>
      </w:r>
    </w:p>
    <w:p>
      <w:pPr>
        <w:numPr>
          <w:ilvl w:val="0"/>
          <w:numId w:val="1008"/>
        </w:numPr>
        <w:pStyle w:val="Compact"/>
      </w:pPr>
      <w:r>
        <w:rPr>
          <w:bCs/>
          <w:b/>
        </w:rPr>
        <w:t xml:space="preserve">Professional Development:</w:t>
      </w:r>
      <w:r>
        <w:t xml:space="preserve"> </w:t>
      </w:r>
      <w:r>
        <w:t xml:space="preserve">Invest in training programs for Iraqi social workers to build local capacity, ensuring sustainability after international NGOs withdraw.</w:t>
      </w:r>
    </w:p>
    <w:p>
      <w:pPr>
        <w:pStyle w:val="FirstParagraph"/>
      </w:pPr>
      <w:r>
        <w:t xml:space="preserve">In conclusion, the **Social Worker** is a cornerstone of resilience in **Iraq Baghdad**. Their work transforms victims of conflict into active participants in their own recovery, rebuilding not just buildings, but the very fabric of society. By addressing the psychological and social wounds of war with professional empathy and strategic advocacy, they pave the way for a stable future in Iraq.</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Rebuilding Community Resilience in Iraq Baghdad</dc:title>
  <dc:creator/>
  <dc:language>en</dc:language>
  <cp:keywords/>
  <dcterms:created xsi:type="dcterms:W3CDTF">2026-07-29T10:27:16Z</dcterms:created>
  <dcterms:modified xsi:type="dcterms:W3CDTF">2026-07-29T10:27:16Z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