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in</w:t>
      </w:r>
      <w:r>
        <w:t xml:space="preserve"> </w:t>
      </w:r>
      <w:r>
        <w:t xml:space="preserve">Jerusalem,</w:t>
      </w:r>
      <w:r>
        <w:t xml:space="preserve"> </w:t>
      </w:r>
      <w:r>
        <w:t xml:space="preserve">Israel</w:t>
      </w:r>
    </w:p>
    <w:p>
      <w:pPr>
        <w:pStyle w:val="FirstParagraph"/>
      </w:pPr>
      <w:r>
        <w:t xml:space="preserve">```html</w:t>
      </w:r>
    </w:p>
    <w:bookmarkStart w:id="27" w:name="X64bee8df751afe251e4bfc21045552282a5c5c1"/>
    <w:p>
      <w:pPr>
        <w:pStyle w:val="Heading1"/>
      </w:pPr>
      <w:r>
        <w:t xml:space="preserve">Navigating Complexities in a Divided City: A Case Study of Social Work in Jerusalem, Israel</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Jerusalem, Israel</w:t>
      </w:r>
      <w:r>
        <w:br/>
      </w:r>
      <w:r>
        <w:rPr>
          <w:bCs/>
          <w:b/>
        </w:rPr>
        <w:t xml:space="preserve">Focal Subject:</w:t>
      </w:r>
      <w:r>
        <w:t xml:space="preserve"> </w:t>
      </w:r>
      <w:r>
        <w:t xml:space="preserve">Integrated Family Support Services</w:t>
      </w:r>
    </w:p>
    <w:bookmarkStart w:id="20" w:name="Xae27b52aa767181f125a75a4a80b172c3d8134d"/>
    <w:p>
      <w:pPr>
        <w:pStyle w:val="Heading2"/>
      </w:pPr>
      <w:r>
        <w:t xml:space="preserve">I. Introduction: The Unique Context of the</w:t>
      </w:r>
      <w:r>
        <w:t xml:space="preserve"> </w:t>
      </w:r>
      <w:r>
        <w:rPr>
          <w:iCs/>
          <w:i/>
        </w:rPr>
        <w:t xml:space="preserve">Social Worker</w:t>
      </w:r>
    </w:p>
    <w:p>
      <w:pPr>
        <w:pStyle w:val="FirstParagraph"/>
      </w:pPr>
      <w:r>
        <w:t xml:space="preserve">The role of a</w:t>
      </w:r>
      <w:r>
        <w:t xml:space="preserve"> </w:t>
      </w:r>
      <w:r>
        <w:rPr>
          <w:bCs/>
          <w:b/>
        </w:rPr>
        <w:t xml:space="preserve">Social Worker</w:t>
      </w:r>
      <w:r>
        <w:t xml:space="preserve"> </w:t>
      </w:r>
      <w:r>
        <w:t xml:space="preserve">in</w:t>
      </w:r>
      <w:r>
        <w:t xml:space="preserve"> </w:t>
      </w:r>
    </w:p>
    <w:p>
      <w:pPr>
        <w:pStyle w:val="BodyText"/>
      </w:pPr>
      <w:r>
        <w:t xml:space="preserve">This case study examines a representative scenario involving "Leah," a licensed clinical</w:t>
      </w:r>
      <w:r>
        <w:t xml:space="preserve"> </w:t>
      </w:r>
      <w:r>
        <w:rPr>
          <w:bCs/>
          <w:b/>
        </w:rPr>
        <w:t xml:space="preserve">Social Worker</w:t>
      </w:r>
      <w:r>
        <w:t xml:space="preserve"> </w:t>
      </w:r>
      <w:r>
        <w:t xml:space="preserve">employed by a non-governmental organization operating in West Jerusalem. Leah’s work exemplifies the critical interventions required to stabilize at-risk families amidst systemic strain and community fragmentation.</w:t>
      </w:r>
    </w:p>
    <w:bookmarkEnd w:id="20"/>
    <w:bookmarkStart w:id="21" w:name="ii.-case-background-the-client-system"/>
    <w:p>
      <w:pPr>
        <w:pStyle w:val="Heading2"/>
      </w:pPr>
      <w:r>
        <w:t xml:space="preserve">II. Case Background: The Client System</w:t>
      </w:r>
    </w:p>
    <w:p>
      <w:pPr>
        <w:pStyle w:val="FirstParagraph"/>
      </w:pPr>
      <w:r>
        <w:t xml:space="preserve">The client is a mixed-family household consisting of David, an immigrant from Eastern Europe, and Yael, a native Israeli born in Tel Aviv. They reside in a neighborhood undergoing rapid gentrification near the boundary separating West Jerusalem (predominantly Jewish) and East Jerusalem (predominantly Arab). The family has two children: Noam (12) and Tamar (9).</w:t>
      </w:r>
    </w:p>
    <w:p>
      <w:pPr>
        <w:pStyle w:val="BodyText"/>
      </w:pPr>
      <w:r>
        <w:t xml:space="preserve">The household was referred to social services due to escalating conflict at home, declining school attendance, and allegations of domestic instability. Reports indicated that David’s recent unemployment had exacerbated existing marital tensions, leading to verbal aggression and emotional withdrawal. Furthermore, the children have begun exhibiting signs of anxiety related to their observations of neighborhood unrest during periods of heightened security alerts in</w:t>
      </w:r>
      <w:r>
        <w:t xml:space="preserve"> </w:t>
      </w:r>
      <w:r>
        <w:rPr>
          <w:bCs/>
          <w:b/>
        </w:rPr>
        <w:t xml:space="preserve">Jerusalem</w:t>
      </w:r>
      <w:r>
        <w:t xml:space="preserve">.</w:t>
      </w:r>
    </w:p>
    <w:bookmarkEnd w:id="21"/>
    <w:bookmarkStart w:id="22" w:name="iii.-assessment-socio-cultural-factors"/>
    <w:p>
      <w:pPr>
        <w:pStyle w:val="Heading2"/>
      </w:pPr>
      <w:r>
        <w:t xml:space="preserve">III. Assessment: Socio-Cultural Factors</w:t>
      </w:r>
    </w:p>
    <w:p>
      <w:pPr>
        <w:pStyle w:val="FirstParagraph"/>
      </w:pPr>
      <w:r>
        <w:t xml:space="preserve">A comprehensive assessment revealed several layers influencing the family's functioning:</w:t>
      </w:r>
    </w:p>
    <w:p>
      <w:pPr>
        <w:numPr>
          <w:ilvl w:val="0"/>
          <w:numId w:val="1001"/>
        </w:numPr>
        <w:pStyle w:val="Compact"/>
      </w:pPr>
      <w:r>
        <w:rPr>
          <w:bCs/>
          <w:b/>
        </w:rPr>
        <w:t xml:space="preserve">Economic Instability:</w:t>
      </w:r>
      <w:r>
        <w:t xml:space="preserve"> High cost of living and housing insecurity in</w:t>
      </w:r>
      <w:r>
        <w:t xml:space="preserve"> </w:t>
      </w:r>
    </w:p>
    <w:p>
      <w:pPr>
        <w:numPr>
          <w:ilvl w:val="0"/>
          <w:numId w:val="1001"/>
        </w:numPr>
        <w:pStyle w:val="Compact"/>
      </w:pPr>
      <w:r>
        <w:t xml:space="preserve">Cultural Isolation: Yael expressed feeling isolated from her extended family, who reside elsewhere, while David struggles with integration into the local community due to language barriers.</w:t>
      </w:r>
    </w:p>
    <w:p>
      <w:pPr>
        <w:numPr>
          <w:ilvl w:val="0"/>
          <w:numId w:val="1001"/>
        </w:numPr>
        <w:pStyle w:val="Compact"/>
      </w:pPr>
      <w:r>
        <w:rPr>
          <w:bCs/>
          <w:b/>
        </w:rPr>
        <w:t xml:space="preserve">Environmental Stress:</w:t>
      </w:r>
      <w:r>
        <w:t xml:space="preserve"> The geopolitical climate in</w:t>
      </w:r>
      <w:r>
        <w:t xml:space="preserve"> </w:t>
      </w:r>
      <w:r>
        <w:rPr>
          <w:bCs/>
          <w:b/>
        </w:rPr>
        <w:t xml:space="preserve">Jerusalem</w:t>
      </w:r>
    </w:p>
    <w:p>
      <w:pPr>
        <w:numPr>
          <w:ilvl w:val="0"/>
          <w:numId w:val="1001"/>
        </w:numPr>
        <w:pStyle w:val="Compact"/>
      </w:pPr>
      <w:r>
        <w:t xml:space="preserve">Intergenerational Trauma: Both parents carry latent trauma related to past experiences with displacement and violence, triggered by current events in the region.</w:t>
      </w:r>
    </w:p>
    <w:p>
      <w:pPr>
        <w:pStyle w:val="FirstParagraph"/>
      </w:pPr>
      <w:r>
        <w:t xml:space="preserve">The</w:t>
      </w:r>
      <w:r>
        <w:t xml:space="preserve"> </w:t>
      </w:r>
      <w:r>
        <w:rPr>
          <w:bCs/>
          <w:b/>
        </w:rPr>
        <w:t xml:space="preserve">Social Worker</w:t>
      </w:r>
      <w:r>
        <w:t xml:space="preserve">, Leah, utilized an ecological systems theory framework to map these influences. She identified that while individual coping mechanisms were insufficient, strengthening family cohesion and accessing community resources could mitigate external stressors.</w:t>
      </w:r>
    </w:p>
    <w:bookmarkEnd w:id="22"/>
    <w:bookmarkStart w:id="23" w:name="X062cff427c5fc60314325e1bdc54ab57c333584"/>
    <w:p>
      <w:pPr>
        <w:pStyle w:val="Heading2"/>
      </w:pPr>
      <w:r>
        <w:t xml:space="preserve">IV. Intervention Strategy: The Role of the</w:t>
      </w:r>
      <w:r>
        <w:t xml:space="preserve"> </w:t>
      </w:r>
      <w:r>
        <w:rPr>
          <w:iCs/>
          <w:i/>
        </w:rPr>
        <w:t xml:space="preserve">Social Worker</w:t>
      </w:r>
    </w:p>
    <w:p>
      <w:pPr>
        <w:pStyle w:val="FirstParagraph"/>
      </w:pPr>
      <w:r>
        <w:t xml:space="preserve">The intervention plan focused on three core objectives:</w:t>
      </w:r>
    </w:p>
    <w:p>
      <w:pPr>
        <w:numPr>
          <w:ilvl w:val="0"/>
          <w:numId w:val="1002"/>
        </w:numPr>
        <w:pStyle w:val="Compact"/>
      </w:pPr>
      <w:r>
        <w:t xml:space="preserve">Crisis Management: Establishing safety and stability within the home environment.</w:t>
      </w:r>
    </w:p>
    <w:p>
      <w:pPr>
        <w:numPr>
          <w:ilvl w:val="0"/>
          <w:numId w:val="1002"/>
        </w:numPr>
        <w:pStyle w:val="Compact"/>
      </w:pPr>
      <w:r>
        <w:t xml:space="preserve">Skill Building: Enhancing communication and conflict resolution techniques.</w:t>
      </w:r>
    </w:p>
    <w:p>
      <w:pPr>
        <w:numPr>
          <w:ilvl w:val="0"/>
          <w:numId w:val="1002"/>
        </w:numPr>
        <w:pStyle w:val="Compact"/>
      </w:pPr>
      <w:r>
        <w:t xml:space="preserve">Community Integration: Connecting the family with local support systems in</w:t>
      </w:r>
      <w:r>
        <w:t xml:space="preserve"> </w:t>
      </w:r>
      <w:r>
        <w:rPr>
          <w:bCs/>
          <w:b/>
        </w:rPr>
        <w:t xml:space="preserve">Jerusalem</w:t>
      </w:r>
      <w:r>
        <w:t xml:space="preserve">.</w:t>
      </w:r>
    </w:p>
    <w:p>
      <w:pPr>
        <w:pStyle w:val="FirstParagraph"/>
      </w:pPr>
      <w:r>
        <w:rPr>
          <w:bCs/>
          <w:b/>
        </w:rPr>
        <w:t xml:space="preserve">Crisis Management:</w:t>
      </w:r>
      <w:r>
        <w:t xml:space="preserve"> Leah conducted weekly home visits to assess safety risks. She facilitated a structured dialogue between David and Yael to address immediate triggers of conflict, employing cognitive-behavioral techniques to reframe negative thought patterns regarding unemployment and identity.</w:t>
      </w:r>
    </w:p>
    <w:p>
      <w:pPr>
        <w:pStyle w:val="BodyText"/>
      </w:pPr>
      <w:r>
        <w:rPr>
          <w:bCs/>
          <w:b/>
        </w:rPr>
        <w:t xml:space="preserve">Skill Building:</w:t>
      </w:r>
      <w:r>
        <w:t xml:space="preserve"> The children participated in expressive arts therapy sessions, which provided a safe outlet for processing their fears related to the volatile environment. Parenting workshops focused on non-violent communication helped parents model emotional regulation for their children.</w:t>
      </w:r>
    </w:p>
    <w:p>
      <w:pPr>
        <w:pStyle w:val="BodyText"/>
      </w:pPr>
      <w:r>
        <w:rPr>
          <w:bCs/>
          <w:b/>
        </w:rPr>
        <w:t xml:space="preserve">Community Integration:</w:t>
      </w:r>
      <w:r>
        <w:t xml:space="preserve"> Recognizing the isolation factor, Leah connected David with local immigrant support groups in</w:t>
      </w:r>
      <w:r>
        <w:t xml:space="preserve"> </w:t>
      </w:r>
    </w:p>
    <w:bookmarkEnd w:id="23"/>
    <w:bookmarkStart w:id="24" w:name="v.-challenges-faced-in-jerusalem-israel"/>
    <w:p>
      <w:pPr>
        <w:pStyle w:val="Heading2"/>
      </w:pPr>
      <w:r>
        <w:t xml:space="preserve">V. Challenges Faced in</w:t>
      </w:r>
      <w:r>
        <w:t xml:space="preserve"> </w:t>
      </w:r>
      <w:r>
        <w:rPr>
          <w:iCs/>
          <w:i/>
        </w:rPr>
        <w:t xml:space="preserve">Jerusalem, Israel</w:t>
      </w:r>
    </w:p>
    <w:p>
      <w:pPr>
        <w:pStyle w:val="FirstParagraph"/>
      </w:pPr>
      <w:r>
        <w:t xml:space="preserve">The work of any</w:t>
      </w:r>
      <w:r>
        <w:t xml:space="preserve"> </w:t>
      </w:r>
      <w:r>
        <w:rPr>
          <w:bCs/>
          <w:b/>
        </w:rPr>
        <w:t xml:space="preserve">Social Worker</w:t>
      </w:r>
    </w:p>
    <w:p>
      <w:pPr>
        <w:numPr>
          <w:ilvl w:val="0"/>
          <w:numId w:val="1003"/>
        </w:numPr>
        <w:pStyle w:val="Compact"/>
      </w:pPr>
      <w:r>
        <w:t xml:space="preserve">Bureaucratic Hurdles: Navigating the dual administrative systems that often serve Jewish and Arab sectors differently can be confusing for families living on the interface.</w:t>
      </w:r>
    </w:p>
    <w:p>
      <w:pPr>
        <w:numPr>
          <w:ilvl w:val="0"/>
          <w:numId w:val="1003"/>
        </w:numPr>
        <w:pStyle w:val="Compact"/>
      </w:pPr>
      <w:r>
        <w:rPr>
          <w:bCs/>
          <w:b/>
        </w:rPr>
        <w:t xml:space="preserve">Resource Allocation:</w:t>
      </w:r>
      <w:r>
        <w:t xml:space="preserve"> High demand for mental health services often leads to long waitlists, requiring</w:t>
      </w:r>
      <w:r>
        <w:t xml:space="preserve"> </w:t>
      </w:r>
      <w:r>
        <w:rPr>
          <w:bCs/>
          <w:b/>
        </w:rPr>
        <w:t xml:space="preserve">Social Workers</w:t>
      </w:r>
    </w:p>
    <w:p>
      <w:pPr>
        <w:numPr>
          <w:ilvl w:val="0"/>
          <w:numId w:val="1003"/>
        </w:numPr>
        <w:pStyle w:val="Compact"/>
      </w:pPr>
      <w:r>
        <w:t xml:space="preserve">Emotional Burnout: Practitioners frequently experience secondary traumatic stress due to exposure to narratives of violence and loss prevalent in</w:t>
      </w:r>
      <w:r>
        <w:t xml:space="preserve"> </w:t>
      </w:r>
      <w:r>
        <w:rPr>
          <w:bCs/>
          <w:b/>
        </w:rPr>
        <w:t xml:space="preserve">Jerusalem</w:t>
      </w:r>
      <w:r>
        <w:t xml:space="preserve">.</w:t>
      </w:r>
    </w:p>
    <w:bookmarkEnd w:id="24"/>
    <w:bookmarkStart w:id="25" w:name="vi.-outcomes-and-evaluation"/>
    <w:p>
      <w:pPr>
        <w:pStyle w:val="Heading2"/>
      </w:pPr>
      <w:r>
        <w:t xml:space="preserve">VI. Outcomes and Evaluation</w:t>
      </w:r>
    </w:p>
    <w:p>
      <w:pPr>
        <w:pStyle w:val="FirstParagraph"/>
      </w:pPr>
      <w:r>
        <w:t xml:space="preserve">Six months post-intervention, the family reported significant improvements. David secured part-time employment through his new network, reducing financial pressure. Yael noted improved marital satisfaction due to enhanced communication skills. The children showed increased resilience in school settings and reduced anxiety symptoms.</w:t>
      </w:r>
    </w:p>
    <w:p>
      <w:pPr>
        <w:pStyle w:val="BodyText"/>
      </w:pPr>
      <w:r>
        <w:t xml:space="preserve">The success of this case highlights the importance of a holistic approach that addresses not only individual psychological needs but also the broader socio-political context of</w:t>
      </w:r>
      <w:r>
        <w:t xml:space="preserve"> </w:t>
      </w:r>
      <w:r>
        <w:t xml:space="preserve">Social Worker</w:t>
      </w:r>
    </w:p>
    <w:bookmarkEnd w:id="25"/>
    <w:bookmarkStart w:id="26" w:name="vii.-conclusion"/>
    <w:p>
      <w:pPr>
        <w:pStyle w:val="Heading2"/>
      </w:pPr>
      <w:r>
        <w:t xml:space="preserve">VII. Conclusion</w:t>
      </w:r>
    </w:p>
    <w:p>
      <w:pPr>
        <w:pStyle w:val="FirstParagraph"/>
      </w:pPr>
      <w:r>
        <w:t xml:space="preserve">This case study underscores the multifaceted nature of social work in</w:t>
      </w:r>
      <w:r>
        <w:t xml:space="preserve"> </w:t>
      </w:r>
      <w:r>
        <w:t xml:space="preserve">Social Workers</w:t>
      </w:r>
    </w:p>
    <w:p>
      <w:pPr>
        <w:pStyle w:val="BodyText"/>
      </w:pPr>
      <w:r>
        <w:t xml:space="preserve">Future interventions should emphasize community-based prevention programs that engage diverse groups across</w:t>
      </w:r>
      <w:r>
        <w:t xml:space="preserve"> </w:t>
      </w:r>
      <w:r>
        <w:t xml:space="preserve">, promoting dialogue and shared understanding. By doing so,</w:t>
      </w:r>
      <w:r>
        <w:t xml:space="preserve"> </w:t>
      </w:r>
      <w:r>
        <w:rPr>
          <w:bCs/>
          <w:b/>
        </w:rPr>
        <w:t xml:space="preserve">Social Workers</w:t>
      </w:r>
    </w:p>
    <w:p>
      <w:r>
        <w:pict>
          <v:rect style="width:0;height:1.5pt" o:hralign="center" o:hrstd="t" o:hr="t"/>
        </w:pict>
      </w:r>
    </w:p>
    <w:p>
      <w:pPr>
        <w:pStyle w:val="FirstParagraph"/>
      </w:pPr>
      <w:r>
        <w:rPr>
          <w:iCs/>
          <w:i/>
        </w:rPr>
        <w:t xml:space="preserve">This document is intended for educational purposes within the field of social work practice in Israel Jerusalem.</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in Jerusalem, Israel</dc:title>
  <dc:creator/>
  <dc:language>en</dc:language>
  <cp:keywords/>
  <dcterms:created xsi:type="dcterms:W3CDTF">2026-07-29T04:04:19Z</dcterms:created>
  <dcterms:modified xsi:type="dcterms:W3CDTF">2026-07-29T04:04:19Z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