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Social</w:t>
      </w:r>
      <w:r>
        <w:t xml:space="preserve"> </w:t>
      </w:r>
      <w:r>
        <w:t xml:space="preserve">Work</w:t>
      </w:r>
      <w:r>
        <w:t xml:space="preserve"> </w:t>
      </w:r>
      <w:r>
        <w:t xml:space="preserve">in</w:t>
      </w:r>
      <w:r>
        <w:t xml:space="preserve"> </w:t>
      </w:r>
      <w:r>
        <w:t xml:space="preserve">Urban</w:t>
      </w:r>
      <w:r>
        <w:t xml:space="preserve"> </w:t>
      </w:r>
      <w:r>
        <w:t xml:space="preserve">Crisis</w:t>
      </w:r>
      <w:r>
        <w:t xml:space="preserve"> </w:t>
      </w:r>
      <w:r>
        <w:t xml:space="preserve">Settings</w:t>
      </w:r>
    </w:p>
    <w:bookmarkStart w:id="31" w:name="X0acbdc39b3d95aed09ed28aba1c6ab84775d727"/>
    <w:p>
      <w:pPr>
        <w:pStyle w:val="Heading1"/>
      </w:pPr>
      <w:r>
        <w:t xml:space="preserve">Clinical and Community Intervention in High-Density Urban Environments</w:t>
      </w:r>
    </w:p>
    <w:bookmarkStart w:id="30" w:name="Xffc790b3809b9944c02fe18fc89d2a5130b63c6"/>
    <w:p>
      <w:pPr>
        <w:pStyle w:val="Heading2"/>
      </w:pPr>
      <w:r>
        <w:t xml:space="preserve">A Comprehensive Case Study of a</w:t>
      </w:r>
      <w:r>
        <w:t xml:space="preserve"> </w:t>
      </w:r>
      <w:r>
        <w:rPr>
          <w:bCs/>
          <w:b/>
        </w:rPr>
        <w:t xml:space="preserve">Social Worker</w:t>
      </w:r>
    </w:p>
    <w:p>
      <w:pPr>
        <w:pStyle w:val="FirstParagraph"/>
      </w:pPr>
      <w:r>
        <w:rPr>
          <w:iCs/>
          <w:i/>
        </w:rPr>
        <w:t xml:space="preserve">Date:</w:t>
      </w:r>
      <w:r>
        <w:br/>
      </w:r>
      <w:r>
        <w:rPr>
          <w:iCs/>
          <w:i/>
        </w:rPr>
        <w:t xml:space="preserve">Jurisdiction:</w:t>
      </w:r>
      <w:r>
        <w:t xml:space="preserve"> Israel, Tel Aviv District</w:t>
      </w:r>
      <w:r>
        <w:br/>
      </w:r>
      <w:r>
        <w:rPr>
          <w:iCs/>
          <w:i/>
        </w:rPr>
        <w:t xml:space="preserve">Focus Area: </w:t>
      </w:r>
      <w:r>
        <w:t xml:space="preserve">Crisis Intervention and Long-Term Rehabilitation</w:t>
      </w:r>
    </w:p>
    <w:bookmarkStart w:id="20" w:name="executive-summary"/>
    <w:p>
      <w:pPr>
        <w:pStyle w:val="Heading3"/>
      </w:pPr>
      <w:r>
        <w:t xml:space="preserve">1. Executive Summary</w:t>
      </w:r>
    </w:p>
    <w:p>
      <w:pPr>
        <w:pStyle w:val="FirstParagraph"/>
      </w:pPr>
      <w:r>
        <w:t xml:space="preserve">This document presents an in-depth analysis of a complex social service intervention conducted within the dynamic and multifaceted urban landscape of</w:t>
      </w:r>
      <w:r>
        <w:t xml:space="preserve"> </w:t>
      </w:r>
      <w:r>
        <w:rPr>
          <w:bCs/>
          <w:b/>
        </w:rPr>
        <w:t xml:space="preserve">Israel Tel Aviv</w:t>
      </w:r>
      <w:r>
        <w:t xml:space="preserve">. The case study focuses on the operational methodology, challenges, and outcomes experienced by a licensed</w:t>
      </w:r>
      <w:r>
        <w:t xml:space="preserve"> </w:t>
      </w:r>
      <w:r>
        <w:rPr>
          <w:bCs/>
          <w:b/>
        </w:rPr>
        <w:t xml:space="preserve">Social Worker</w:t>
      </w:r>
      <w:r>
        <w:t xml:space="preserve"> </w:t>
      </w:r>
      <w:r>
        <w:t xml:space="preserve">assigned to a high-need neighborhood. The primary objective is to illustrate how professional social work practices are adapted to meet the unique sociocultural, economic, and political realities of contemporary</w:t>
      </w:r>
      <w:r>
        <w:t xml:space="preserve"> </w:t>
      </w:r>
      <w:r>
        <w:rPr>
          <w:bCs/>
          <w:b/>
        </w:rPr>
        <w:t xml:space="preserve">Israel Tel Aviv</w:t>
      </w:r>
      <w:r>
        <w:t xml:space="preserve">. This study highlights the critical role of the</w:t>
      </w:r>
      <w:r>
        <w:t xml:space="preserve"> </w:t>
      </w:r>
      <w:r>
        <w:rPr>
          <w:bCs/>
          <w:b/>
        </w:rPr>
        <w:t xml:space="preserve">Social Worker</w:t>
      </w:r>
      <w:r>
        <w:t xml:space="preserve"> </w:t>
      </w:r>
      <w:r>
        <w:t xml:space="preserve">in bridging systemic gaps for vulnerable populations in one of the Middle East’s most densely populated cities.</w:t>
      </w:r>
    </w:p>
    <w:bookmarkEnd w:id="20"/>
    <w:bookmarkStart w:id="21" w:name="case-background-and-demographics"/>
    <w:p>
      <w:pPr>
        <w:pStyle w:val="Heading3"/>
      </w:pPr>
      <w:r>
        <w:t xml:space="preserve">2. Case Background and Demographics</w:t>
      </w:r>
    </w:p>
    <w:p>
      <w:pPr>
        <w:pStyle w:val="FirstParagraph"/>
      </w:pPr>
      <w:r>
        <w:t xml:space="preserve">The subject of this case study is "David" (a pseudonym), a 54-year-old male residing in the Florentin district, an area known for its rapid gentrification mixed with longstanding working-class communities. David is a veteran of the Israeli Defense Forces who recently faced homelessness following the loss of his employment due to health complications. His situation was exacerbated by strained family relations and a lack of immediate financial safety nets.</w:t>
      </w:r>
      <w:r>
        <w:br/>
      </w:r>
      <w:r>
        <w:t xml:space="preserve">The setting is</w:t>
      </w:r>
      <w:r>
        <w:t xml:space="preserve"> </w:t>
      </w:r>
      <w:r>
        <w:rPr>
          <w:bCs/>
          <w:b/>
        </w:rPr>
        <w:t xml:space="preserve">Israel Tel Aviv</w:t>
      </w:r>
      <w:r>
        <w:t xml:space="preserve">, a city characterized by high housing costs, cultural diversity, and significant social stratification. In this environment, the demand for social services is immense, often outstripping available resources. The</w:t>
      </w:r>
      <w:r>
        <w:t xml:space="preserve"> </w:t>
      </w:r>
      <w:r>
        <w:rPr>
          <w:bCs/>
          <w:b/>
        </w:rPr>
        <w:t xml:space="preserve">Social Worker</w:t>
      </w:r>
      <w:r>
        <w:t xml:space="preserve"> </w:t>
      </w:r>
      <w:r>
        <w:t xml:space="preserve">assigned to David’s case was tasked with addressing not only his immediate housing needs but also his psychological well-being and reintegration into the workforce.</w:t>
      </w:r>
    </w:p>
    <w:bookmarkEnd w:id="21"/>
    <w:bookmarkStart w:id="24" w:name="methodology-and-intervention-strategy"/>
    <w:p>
      <w:pPr>
        <w:pStyle w:val="Heading3"/>
      </w:pPr>
      <w:r>
        <w:t xml:space="preserve">3. Methodology and Intervention Strategy</w:t>
      </w:r>
    </w:p>
    <w:p>
      <w:pPr>
        <w:pStyle w:val="FirstParagraph"/>
      </w:pPr>
      <w:r>
        <w:t xml:space="preserve">The</w:t>
      </w:r>
      <w:r>
        <w:t xml:space="preserve"> </w:t>
      </w:r>
      <w:r>
        <w:rPr>
          <w:bCs/>
          <w:b/>
        </w:rPr>
        <w:t xml:space="preserve">Social Worker</w:t>
      </w:r>
      <w:r>
        <w:t xml:space="preserve"> </w:t>
      </w:r>
      <w:r>
        <w:t xml:space="preserve">employed a holistic bio-psycho-social model to assess David’s condition. This approach was essential given the complex interplay of factors in</w:t>
      </w:r>
      <w:r>
        <w:t xml:space="preserve"> </w:t>
      </w:r>
      <w:r>
        <w:rPr>
          <w:bCs/>
          <w:b/>
        </w:rPr>
        <w:t xml:space="preserve">Israel Tel Aviv</w:t>
      </w:r>
      <w:r>
        <w:t xml:space="preserve">, including bureaucratic hurdles inherent in the Israeli health and welfare systems.</w:t>
      </w:r>
    </w:p>
    <w:bookmarkStart w:id="22" w:name="X648c5af1dc4dc06e21b54d21686d16e69af7815"/>
    <w:p>
      <w:pPr>
        <w:pStyle w:val="Heading4"/>
      </w:pPr>
      <w:r>
        <w:t xml:space="preserve">A. Initial Assessment and Crisis Stabilization</w:t>
      </w:r>
    </w:p>
    <w:p>
      <w:pPr>
        <w:pStyle w:val="FirstParagraph"/>
      </w:pPr>
      <w:r>
        <w:t xml:space="preserve">The first phase involved immediate crisis stabilization. The</w:t>
      </w:r>
      <w:r>
        <w:t xml:space="preserve"> </w:t>
      </w:r>
      <w:r>
        <w:rPr>
          <w:bCs/>
          <w:b/>
        </w:rPr>
        <w:t xml:space="preserve">Social Worker</w:t>
      </w:r>
      <w:r>
        <w:t xml:space="preserve"> </w:t>
      </w:r>
      <w:r>
        <w:t xml:space="preserve">coordinated with local shelters and municipal services to secure temporary accommodation. This required navigating the specific protocols of Tel Aviv’s municipal government, which differs from other regions in</w:t>
      </w:r>
      <w:r>
        <w:t xml:space="preserve"> </w:t>
      </w:r>
      <w:r>
        <w:rPr>
          <w:bCs/>
          <w:b/>
        </w:rPr>
        <w:t xml:space="preserve">Israel Tel Aviv</w:t>
      </w:r>
      <w:r>
        <w:t xml:space="preserve">. The</w:t>
      </w:r>
      <w:r>
        <w:t xml:space="preserve"> </w:t>
      </w:r>
      <w:r>
        <w:rPr>
          <w:bCs/>
          <w:b/>
        </w:rPr>
        <w:t xml:space="preserve">Social Worker</w:t>
      </w:r>
      <w:r>
        <w:t xml:space="preserve"> </w:t>
      </w:r>
      <w:r>
        <w:t xml:space="preserve">acted as an advocate, ensuring that David’s rights as a citizen were respected during this vulnerable period.</w:t>
      </w:r>
    </w:p>
    <w:bookmarkEnd w:id="22"/>
    <w:bookmarkStart w:id="23" w:name="b.-long-term-rehabilitation-plan"/>
    <w:p>
      <w:pPr>
        <w:pStyle w:val="Heading4"/>
      </w:pPr>
      <w:r>
        <w:t xml:space="preserve">B. Long-Term Rehabilitation Plan</w:t>
      </w:r>
    </w:p>
    <w:p>
      <w:pPr>
        <w:pStyle w:val="FirstParagraph"/>
      </w:pPr>
      <w:r>
        <w:t xml:space="preserve">Once basic needs were met, the focus shifted to long-term rehabilitation. The</w:t>
      </w:r>
      <w:r>
        <w:t xml:space="preserve"> </w:t>
      </w:r>
      <w:r>
        <w:rPr>
          <w:bCs/>
          <w:b/>
        </w:rPr>
        <w:t xml:space="preserve">Social Worker</w:t>
      </w:r>
      <w:r>
        <w:t xml:space="preserve"> </w:t>
      </w:r>
      <w:r>
        <w:t xml:space="preserve">facilitated access to mental health counseling through the Kupat Holut (health fund), leveraging local networks in Tel Aviv to find providers who specialized in veteran trauma. Furthermore, vocational training opportunities were identified through partnerships with NGOs operating in</w:t>
      </w:r>
    </w:p>
    <w:p>
      <w:pPr>
        <w:pStyle w:val="BodyText"/>
      </w:pPr>
      <w:r>
        <w:t xml:space="preserve">Israel Tel Aviv, specifically those focused on reintegrating individuals with disabilities into the tech and service sectors.</w:t>
      </w:r>
    </w:p>
    <w:bookmarkEnd w:id="23"/>
    <w:bookmarkEnd w:id="24"/>
    <w:bookmarkStart w:id="25" w:name="challenges-encountered"/>
    <w:p>
      <w:pPr>
        <w:pStyle w:val="Heading3"/>
      </w:pPr>
      <w:r>
        <w:t xml:space="preserve">4. Challenges Encountered</w:t>
      </w:r>
    </w:p>
    <w:p>
      <w:pPr>
        <w:pStyle w:val="FirstParagraph"/>
      </w:pPr>
      <w:r>
        <w:t xml:space="preserve">The intervention was not without significant obstacles. The</w:t>
      </w:r>
      <w:r>
        <w:t xml:space="preserve"> </w:t>
      </w:r>
      <w:r>
        <w:rPr>
          <w:bCs/>
          <w:b/>
        </w:rPr>
        <w:t xml:space="preserve">Social Worker</w:t>
      </w:r>
      <w:r>
        <w:t xml:space="preserve"> </w:t>
      </w:r>
      <w:r>
        <w:t xml:space="preserve">faced several systemic challenges typical of working in</w:t>
      </w:r>
    </w:p>
    <w:p>
      <w:pPr>
        <w:pStyle w:val="BodyText"/>
      </w:pPr>
      <w:r>
        <w:t xml:space="preserve">Israel Tel Aviv:</w:t>
      </w:r>
    </w:p>
    <w:p>
      <w:pPr>
        <w:numPr>
          <w:ilvl w:val="0"/>
          <w:numId w:val="1001"/>
        </w:numPr>
        <w:pStyle w:val="Compact"/>
      </w:pPr>
      <w:r>
        <w:rPr>
          <w:bCs/>
          <w:b/>
        </w:rPr>
        <w:t xml:space="preserve">Housing Scarcity:</w:t>
      </w:r>
      <w:r>
        <w:t xml:space="preserve"> The real estate market in</w:t>
      </w:r>
    </w:p>
    <w:p>
      <w:pPr>
        <w:numPr>
          <w:ilvl w:val="0"/>
          <w:numId w:val="1000"/>
        </w:numPr>
        <w:pStyle w:val="Compact"/>
      </w:pPr>
      <w:r>
        <w:t xml:space="preserve">Israel Tel Aviv is notoriously difficult. Finding affordable housing that meets accessibility standards for David’s condition was a major hurdle.</w:t>
      </w:r>
    </w:p>
    <w:p>
      <w:pPr>
        <w:numPr>
          <w:ilvl w:val="0"/>
          <w:numId w:val="1001"/>
        </w:numPr>
        <w:pStyle w:val="Compact"/>
      </w:pPr>
      <w:r>
        <w:rPr>
          <w:bCs/>
          <w:b/>
        </w:rPr>
        <w:t xml:space="preserve">Bureaucratic Complexity:</w:t>
      </w:r>
      <w:r>
        <w:t xml:space="preserve"> Navigating the intersections between the Ministry of Welfare, local municipalities, and healthcare providers required extensive administrative coordination by the</w:t>
      </w:r>
    </w:p>
    <w:p>
      <w:pPr>
        <w:numPr>
          <w:ilvl w:val="0"/>
          <w:numId w:val="1000"/>
        </w:numPr>
        <w:pStyle w:val="Compact"/>
      </w:pPr>
      <w:r>
        <w:t xml:space="preserve">Social Worker.</w:t>
      </w:r>
    </w:p>
    <w:p>
      <w:pPr>
        <w:numPr>
          <w:ilvl w:val="0"/>
          <w:numId w:val="1001"/>
        </w:numPr>
        <w:pStyle w:val="Compact"/>
      </w:pPr>
      <w:r>
        <w:rPr>
          <w:bCs/>
          <w:b/>
        </w:rPr>
        <w:t xml:space="preserve">Cultural Sensitivity:</w:t>
      </w:r>
      <w:r>
        <w:t xml:space="preserve"> David’s background required a culturally competent approach. The</w:t>
      </w:r>
    </w:p>
    <w:p>
      <w:pPr>
        <w:numPr>
          <w:ilvl w:val="0"/>
          <w:numId w:val="1000"/>
        </w:numPr>
        <w:pStyle w:val="Compact"/>
      </w:pPr>
      <w:r>
        <w:t xml:space="preserve">Social Worker had to understand the nuances of veteran identity and the specific stigma surrounding mental health in certain sectors of Israeli society.</w:t>
      </w:r>
    </w:p>
    <w:bookmarkEnd w:id="25"/>
    <w:bookmarkStart w:id="26" w:name="role-of-the-social-worker"/>
    <w:p>
      <w:pPr>
        <w:pStyle w:val="Heading3"/>
      </w:pPr>
      <w:r>
        <w:t xml:space="preserve">5. Role of the</w:t>
      </w:r>
      <w:r>
        <w:t xml:space="preserve"> </w:t>
      </w:r>
      <w:r>
        <w:rPr>
          <w:bCs/>
          <w:b/>
        </w:rPr>
        <w:t xml:space="preserve">Social Worker</w:t>
      </w:r>
    </w:p>
    <w:p>
      <w:pPr>
        <w:pStyle w:val="FirstParagraph"/>
      </w:pPr>
      <w:r>
        <w:t xml:space="preserve">The</w:t>
      </w:r>
    </w:p>
    <w:p>
      <w:pPr>
        <w:pStyle w:val="BodyText"/>
      </w:pPr>
      <w:r>
        <w:t xml:space="preserve">Social Worker played a multifaceted role throughout this case. They were not merely an administrator but also a counselor, advocate, and community liaison. The effectiveness of the intervention hinged on the</w:t>
      </w:r>
      <w:r>
        <w:t xml:space="preserve"> </w:t>
      </w:r>
      <w:r>
        <w:rPr>
          <w:bCs/>
          <w:b/>
        </w:rPr>
        <w:t xml:space="preserve">Social Worker’s </w:t>
      </w:r>
      <w:r>
        <w:t xml:space="preserve">ability to build trust with David while simultaneously managing relationships with external agencies in</w:t>
      </w:r>
    </w:p>
    <w:p>
      <w:pPr>
        <w:pStyle w:val="BodyText"/>
      </w:pPr>
      <w:r>
        <w:t xml:space="preserve">Israel Tel Aviv. This dual role required exceptional emotional resilience and professional boundary management.</w:t>
      </w:r>
    </w:p>
    <w:bookmarkEnd w:id="26"/>
    <w:bookmarkStart w:id="27" w:name="outcomes-and-evaluation"/>
    <w:p>
      <w:pPr>
        <w:pStyle w:val="Heading3"/>
      </w:pPr>
      <w:r>
        <w:t xml:space="preserve">6. Outcomes and Evaluation</w:t>
      </w:r>
    </w:p>
    <w:p>
      <w:pPr>
        <w:pStyle w:val="FirstParagraph"/>
      </w:pPr>
      <w:r>
        <w:t xml:space="preserve">Six months post-intervention, the results indicated significant progress. David secured stable housing in a subsidized apartment within</w:t>
      </w:r>
      <w:r>
        <w:t xml:space="preserve"> </w:t>
      </w:r>
      <w:r>
        <w:rPr>
          <w:bCs/>
          <w:b/>
        </w:rPr>
        <w:t xml:space="preserve">Israel Tel Aviv’s </w:t>
      </w:r>
      <w:r>
        <w:t xml:space="preserve">municipal program. He has begun attending vocational workshops and reports improved mental health status after regular counseling sessions.</w:t>
      </w:r>
    </w:p>
    <w:p>
      <w:pPr>
        <w:pStyle w:val="BodyText"/>
      </w:pPr>
      <w:r>
        <w:t xml:space="preserve">The success of this case underscores the importance of localized knowledge for any</w:t>
      </w:r>
    </w:p>
    <w:p>
      <w:pPr>
        <w:pStyle w:val="BodyText"/>
      </w:pPr>
      <w:r>
        <w:t xml:space="preserve">Social Worker operating in this region. Understanding the specific resources available in</w:t>
      </w:r>
    </w:p>
    <w:p>
      <w:pPr>
        <w:pStyle w:val="BodyText"/>
      </w:pPr>
      <w:r>
        <w:t xml:space="preserve">Israel Tel Aviv, from community centers to healthcare facilities, was crucial for David’s recovery. The case demonstrates that effective social work is not a one-size-fits-all solution but requires tailored strategies that respect the local context.</w:t>
      </w:r>
    </w:p>
    <w:bookmarkEnd w:id="27"/>
    <w:bookmarkStart w:id="28" w:name="discussion-and-implications-for-practice"/>
    <w:p>
      <w:pPr>
        <w:pStyle w:val="Heading3"/>
      </w:pPr>
      <w:r>
        <w:t xml:space="preserve">7. Discussion and Implications for Practice</w:t>
      </w:r>
    </w:p>
    <w:p>
      <w:pPr>
        <w:pStyle w:val="FirstParagraph"/>
      </w:pPr>
      <w:r>
        <w:t xml:space="preserve">This case study offers several implications for future practice in</w:t>
      </w:r>
    </w:p>
    <w:p>
      <w:pPr>
        <w:pStyle w:val="BodyText"/>
      </w:pPr>
      <w:r>
        <w:t xml:space="preserve">Israel Tel Aviv. First, it highlights the need for integrated service models where medical, psychological, and social support are coordinated seamlessly. Second, it emphasizes the importance of specialized training for</w:t>
      </w:r>
    </w:p>
    <w:p>
      <w:pPr>
        <w:pStyle w:val="BodyText"/>
      </w:pPr>
      <w:r>
        <w:t xml:space="preserve">Social Worker professionals to handle the unique pressures of urban environments in Israel.</w:t>
      </w:r>
    </w:p>
    <w:p>
      <w:pPr>
        <w:pStyle w:val="BodyText"/>
      </w:pPr>
      <w:r>
        <w:t xml:space="preserve">Furthermore, policymakers in</w:t>
      </w:r>
    </w:p>
    <w:p>
      <w:pPr>
        <w:pStyle w:val="BodyText"/>
      </w:pPr>
      <w:r>
        <w:t xml:space="preserve">Israel Tel Aviv can learn from this case that investing in community-based social services yields long-term benefits by reducing dependency on emergency interventions. The role of the</w:t>
      </w:r>
    </w:p>
    <w:p>
      <w:pPr>
        <w:pStyle w:val="BodyText"/>
      </w:pPr>
      <w:r>
        <w:t xml:space="preserve">Social Worker as a connector between individuals and systems is vital for maintaining social cohesion in diverse urban settings.</w:t>
      </w:r>
    </w:p>
    <w:bookmarkEnd w:id="28"/>
    <w:bookmarkStart w:id="29" w:name="conclusion"/>
    <w:p>
      <w:pPr>
        <w:pStyle w:val="Heading3"/>
      </w:pPr>
      <w:r>
        <w:t xml:space="preserve">8. Conclusion</w:t>
      </w:r>
    </w:p>
    <w:p>
      <w:pPr>
        <w:pStyle w:val="FirstParagraph"/>
      </w:pPr>
      <w:r>
        <w:t xml:space="preserve">In conclusion, this case study illustrates the critical impact of dedicated</w:t>
      </w:r>
    </w:p>
    <w:p>
      <w:pPr>
        <w:pStyle w:val="BodyText"/>
      </w:pPr>
      <w:r>
        <w:t xml:space="preserve">Social Worker Israel Tel Aviv. By addressing both immediate crises and long-term developmental needs, professionals can significantly improve the quality of life for vulnerable individuals. The specific dynamics of working in</w:t>
      </w:r>
    </w:p>
    <w:p>
      <w:pPr>
        <w:pStyle w:val="BodyText"/>
      </w:pPr>
      <w:r>
        <w:t xml:space="preserve">Israel Tel Aviv require a nuanced, culturally aware, and resourceful approach. As urban challenges evolve in Israel, the adaptability and compassion demonstrated by the</w:t>
      </w:r>
      <w:r>
        <w:t xml:space="preserve"> </w:t>
      </w:r>
      <w:r>
        <w:rPr>
          <w:bCs/>
          <w:b/>
        </w:rPr>
        <w:t xml:space="preserve">Social Worker </w:t>
      </w:r>
      <w:r>
        <w:t xml:space="preserve">in this case serve as a model for best practices in social service delivery.</w:t>
      </w:r>
    </w:p>
    <w:p>
      <w:r>
        <w:pict>
          <v:rect style="width:0;height:1.5pt" o:hralign="center" o:hrstd="t" o:hr="t"/>
        </w:pict>
      </w:r>
    </w:p>
    <w:p>
      <w:pPr>
        <w:pStyle w:val="FirstParagraph"/>
      </w:pPr>
      <w:r>
        <w:rPr>
          <w:iCs/>
          <w:i/>
        </w:rPr>
        <w:t xml:space="preserve">Note: This document is for educational and professional reference purposes. All names have been changed to protect client confidentiality in accordance with ethical standards of social work practice.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Social Work in Urban Crisis Settings</dc:title>
  <dc:creator/>
  <dc:language>en</dc:language>
  <cp:keywords/>
  <dcterms:created xsi:type="dcterms:W3CDTF">2026-07-29T03:31:22Z</dcterms:created>
  <dcterms:modified xsi:type="dcterms:W3CDTF">2026-07-29T03:31:22Z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