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Work</w:t>
      </w:r>
      <w:r>
        <w:t xml:space="preserve"> </w:t>
      </w:r>
      <w:r>
        <w:t xml:space="preserve">in</w:t>
      </w:r>
      <w:r>
        <w:t xml:space="preserve"> </w:t>
      </w:r>
      <w:r>
        <w:t xml:space="preserve">Japan</w:t>
      </w:r>
      <w:r>
        <w:t xml:space="preserve"> </w:t>
      </w:r>
      <w:r>
        <w:t xml:space="preserve">Kyoto</w:t>
      </w:r>
    </w:p>
    <w:bookmarkStart w:id="26" w:name="Xea1d1e5ae9a2f25b7da155f428b14180a092766"/>
    <w:p>
      <w:pPr>
        <w:pStyle w:val="Heading1"/>
      </w:pPr>
      <w:r>
        <w:t xml:space="preserve">Case Study Report: The Evolution of the Social Worker Role in Japan Kyoto</w:t>
      </w:r>
    </w:p>
    <w:p>
      <w:pPr>
        <w:pStyle w:val="FirstParagraph"/>
      </w:pPr>
      <w:r>
        <w:rPr>
          <w:bCs/>
          <w:b/>
        </w:rPr>
        <w:t xml:space="preserve">Date:</w:t>
      </w:r>
      <w:r>
        <w:t xml:space="preserve"> </w:t>
      </w:r>
      <w:r>
        <w:t xml:space="preserve">October 24, 2023</w:t>
      </w:r>
      <w:r>
        <w:br/>
      </w:r>
      <w:r>
        <w:rPr>
          <w:bCs/>
          <w:b/>
        </w:rPr>
        <w:t xml:space="preserve">Status:Focal Region:</w:t>
      </w:r>
    </w:p>
    <w:bookmarkStart w:id="20" w:name="Xf76d0d9874a2e24cdda22a3912914b5960263d2"/>
    <w:p>
      <w:pPr>
        <w:pStyle w:val="Heading2"/>
      </w:pPr>
      <w:r>
        <w:t xml:space="preserve">1. Executive Summary and Contextual Background</w:t>
      </w:r>
    </w:p>
    <w:p>
      <w:pPr>
        <w:pStyle w:val="FirstParagraph"/>
      </w:pPr>
      <w:r>
        <w:t xml:space="preserve">This case study examines the critical role of the</w:t>
      </w:r>
      <w:r>
        <w:t xml:space="preserve"> </w:t>
      </w:r>
      <w:r>
        <w:rPr>
          <w:bCs/>
          <w:b/>
        </w:rPr>
        <w:t xml:space="preserve">Social Worker</w:t>
      </w:r>
      <w:r>
        <w:t xml:space="preserve"> </w:t>
      </w:r>
      <w:r>
        <w:t xml:space="preserve">within the unique socio-cultural landscape of</w:t>
      </w:r>
      <w:r>
        <w:t xml:space="preserve"> </w:t>
      </w:r>
      <w:r>
        <w:rPr>
          <w:bCs/>
          <w:b/>
        </w:rPr>
        <w:t xml:space="preserve">JJapan Kyoto</w:t>
      </w:r>
      <w:r>
        <w:t xml:space="preserve">. As a city that serves as both a global tourist destination and a repository of traditional Japanese heritage, Kyoto presents distinct challenges for social services. The intersection of rapid demographic shifts, such as aging populations, and intense cultural preservation efforts creates a complex environment where modern welfare systems must adapt to ancient social fabrics. This document analyzes how the</w:t>
      </w:r>
      <w:r>
        <w:t xml:space="preserve"> </w:t>
      </w:r>
      <w:r>
        <w:rPr>
          <w:bCs/>
          <w:b/>
        </w:rPr>
        <w:t xml:space="preserve">Social Worker</w:t>
      </w:r>
      <w:r>
        <w:t xml:space="preserve"> </w:t>
      </w:r>
      <w:r>
        <w:t xml:space="preserve">operates in this specific locale within</w:t>
      </w:r>
      <w:r>
        <w:t xml:space="preserve"> </w:t>
      </w:r>
      <w:r>
        <w:rPr>
          <w:bCs/>
          <w:b/>
        </w:rPr>
        <w:t xml:space="preserve">Japan Kyoto</w:t>
      </w:r>
      <w:r>
        <w:t xml:space="preserve">, navigating bureaucratic frameworks while addressing community-specific needs.</w:t>
      </w:r>
    </w:p>
    <w:bookmarkEnd w:id="20"/>
    <w:bookmarkStart w:id="21" w:name="demographic-challenges-in-japan-kyoto"/>
    <w:p>
      <w:pPr>
        <w:pStyle w:val="Heading2"/>
      </w:pPr>
      <w:r>
        <w:t xml:space="preserve">2. Demographic Challenges in Japan Kyoto</w:t>
      </w:r>
    </w:p>
    <w:p>
      <w:pPr>
        <w:pStyle w:val="FirstParagraph"/>
      </w:pPr>
      <w:r>
        <w:t xml:space="preserve">The primary driver for social intervention in this region is the severe aging demographic profile of</w:t>
      </w:r>
      <w:r>
        <w:t xml:space="preserve"> </w:t>
      </w:r>
      <w:r>
        <w:rPr>
          <w:bCs/>
          <w:b/>
        </w:rPr>
        <w:t xml:space="preserve">JJapan Kyoto</w:t>
      </w:r>
      <w:r>
        <w:t xml:space="preserve">. According to recent municipal data, a significant percentage of residents are over the age of sixty-five. This phenomenon, known as "super-aged society," places immense pressure on local healthcare and welfare infrastructure. Unlike Tokyo or Osaka, where urban density allows for high-volume service delivery models,</w:t>
      </w:r>
      <w:r>
        <w:t xml:space="preserve"> </w:t>
      </w:r>
      <w:r>
        <w:rPr>
          <w:bCs/>
          <w:b/>
        </w:rPr>
        <w:t xml:space="preserve">Japan Kyoto</w:t>
      </w:r>
      <w:r>
        <w:t xml:space="preserve"> </w:t>
      </w:r>
      <w:r>
        <w:t xml:space="preserve">features a dispersed elderly population in mountainous districts (such as Ugo and Miyama) alongside historic wooden housing stock in the city center that is often inaccessible to those with mobility issues.</w:t>
      </w:r>
    </w:p>
    <w:p>
      <w:pPr>
        <w:pStyle w:val="BodyText"/>
      </w:pPr>
      <w:r>
        <w:t xml:space="preserve">In this context, the</w:t>
      </w:r>
      <w:r>
        <w:t xml:space="preserve"> </w:t>
      </w:r>
      <w:r>
        <w:rPr>
          <w:bCs/>
          <w:b/>
        </w:rPr>
        <w:t xml:space="preserve">Social Worker</w:t>
      </w:r>
      <w:r>
        <w:t xml:space="preserve"> </w:t>
      </w:r>
      <w:r>
        <w:t xml:space="preserve">acts not merely as a case manager but as a bridge between isolated seniors and municipal resources. The geographical constraints of</w:t>
      </w:r>
      <w:r>
        <w:t xml:space="preserve"> </w:t>
      </w:r>
      <w:r>
        <w:rPr>
          <w:bCs/>
          <w:b/>
        </w:rPr>
        <w:t xml:space="preserve">JJapan Kyoto</w:t>
      </w:r>
      <w:r>
        <w:t xml:space="preserve"> </w:t>
      </w:r>
      <w:r>
        <w:t xml:space="preserve">mean that travel time for social workers is significantly higher than in metropolitan hubs. Consequently, the role demands high adaptability and strong relationships with local community centers (Chonaikai), which are vital for identifying at-risk individuals who do not actively seek help.</w:t>
      </w:r>
    </w:p>
    <w:bookmarkEnd w:id="21"/>
    <w:bookmarkStart w:id="22" w:name="Xe41853b403d75252289b286b9fd60435e62ad43"/>
    <w:p>
      <w:pPr>
        <w:pStyle w:val="Heading2"/>
      </w:pPr>
      <w:r>
        <w:t xml:space="preserve">3. The Cultural Nuance of Social Work in Japan Kyoto</w:t>
      </w:r>
    </w:p>
    <w:p>
      <w:pPr>
        <w:pStyle w:val="FirstParagraph"/>
      </w:pPr>
      <w:r>
        <w:rPr>
          <w:bCs/>
          <w:b/>
        </w:rPr>
        <w:t xml:space="preserve">Cultural Insight:</w:t>
      </w:r>
      <w:r>
        <w:t xml:space="preserve">In traditional Japanese society, there is often a reluctance to involve outsiders in private family matters due to the concept of "Haji" (shame) and the desire for privacy. Therefore, a</w:t>
      </w:r>
      <w:r>
        <w:t xml:space="preserve"> </w:t>
      </w:r>
      <w:r>
        <w:rPr>
          <w:bCs/>
          <w:b/>
        </w:rPr>
        <w:t xml:space="preserve">Social Worker</w:t>
      </w:r>
      <w:r>
        <w:t xml:space="preserve"> </w:t>
      </w:r>
      <w:r>
        <w:t xml:space="preserve">operating in</w:t>
      </w:r>
    </w:p>
    <w:p>
      <w:pPr>
        <w:pStyle w:val="BodyText"/>
      </w:pPr>
      <w:r>
        <w:t xml:space="preserve">JJapan Kyoto must employ highly nuanced communication strategies that respect these cultural boundaries while ensuring safety.</w:t>
      </w:r>
    </w:p>
    <w:p>
      <w:pPr>
        <w:pStyle w:val="BodyText"/>
      </w:pPr>
      <w:r>
        <w:t xml:space="preserve">The identity of the</w:t>
      </w:r>
      <w:r>
        <w:t xml:space="preserve"> </w:t>
      </w:r>
      <w:r>
        <w:rPr>
          <w:bCs/>
          <w:b/>
        </w:rPr>
        <w:t xml:space="preserve">Social Worker</w:t>
      </w:r>
      <w:r>
        <w:t xml:space="preserve"> </w:t>
      </w:r>
      <w:r>
        <w:t xml:space="preserve">in this region is heavily influenced by local customs. In many neighborhoods of</w:t>
      </w:r>
    </w:p>
    <w:p>
      <w:pPr>
        <w:pStyle w:val="BodyText"/>
      </w:pPr>
      <w:r>
        <w:t xml:space="preserve">JJapan Kyoto, long-term residents value continuity and trust over efficiency. A newly assigned social worker may spend the first few months simply building rapport with neighborhood elders before discussing sensitive topics like elder abuse or financial exploitation.</w:t>
      </w:r>
    </w:p>
    <w:p>
      <w:pPr>
        <w:pStyle w:val="BodyText"/>
      </w:pPr>
      <w:r>
        <w:t xml:space="preserve">Furthermore, tourism in</w:t>
      </w:r>
      <w:r>
        <w:t xml:space="preserve"> </w:t>
      </w:r>
      <w:r>
        <w:rPr>
          <w:bCs/>
          <w:b/>
        </w:rPr>
        <w:t xml:space="preserve">JJapan Kyoto</w:t>
      </w:r>
      <w:r>
        <w:t xml:space="preserve"> </w:t>
      </w:r>
      <w:r>
        <w:t xml:space="preserve">creates a paradoxical environment. While tourists bring economic vitality, they also contribute to the displacement of locals and the transformation of residential areas into commercial zones. This leads to "urbanization stress," where long-time residents feel disconnected from their community. The modern</w:t>
      </w:r>
    </w:p>
    <w:p>
      <w:pPr>
        <w:pStyle w:val="BodyText"/>
      </w:pPr>
      <w:r>
        <w:t xml:space="preserve">Social Worker is increasingly tasked with addressing social isolation among seniors who feel their city has changed beyond recognition due to unchecked tourism.</w:t>
      </w:r>
    </w:p>
    <w:bookmarkEnd w:id="22"/>
    <w:bookmarkStart w:id="23" w:name="X1f9b4c1d9ade6f029353f97ef31c1ee70e9b3f7"/>
    <w:p>
      <w:pPr>
        <w:pStyle w:val="Heading2"/>
      </w:pPr>
      <w:r>
        <w:t xml:space="preserve">4. Case Scenario: Multi-Generational Household Support</w:t>
      </w:r>
    </w:p>
    <w:p>
      <w:pPr>
        <w:pStyle w:val="FirstParagraph"/>
      </w:pPr>
      <w:r>
        <w:t xml:space="preserve">To illustrate the practical application of this role, consider a representative case involving an 82-year-old widow, Tanaka-san, living in the Higashiyama district of</w:t>
      </w:r>
    </w:p>
    <w:p>
      <w:pPr>
        <w:pStyle w:val="BodyText"/>
      </w:pPr>
      <w:r>
        <w:t xml:space="preserve">JJapan Kyoto. Tanaka-san’s daughter works full-time in downtown offices, leaving her mother alone during the day. Recently, neighbors noted that Tanaka-san had stopped sweeping her traditional Engawa (porch), a sign of declining physical health.</w:t>
      </w:r>
    </w:p>
    <w:p>
      <w:pPr>
        <w:pStyle w:val="BodyText"/>
      </w:pPr>
      <w:r>
        <w:rPr>
          <w:bCs/>
          <w:b/>
        </w:rPr>
        <w:t xml:space="preserve">Intervention Strategy:</w:t>
      </w:r>
    </w:p>
    <w:p>
      <w:pPr>
        <w:numPr>
          <w:ilvl w:val="0"/>
          <w:numId w:val="1001"/>
        </w:numPr>
        <w:pStyle w:val="Compact"/>
      </w:pPr>
      <w:r>
        <w:rPr>
          <w:bCs/>
          <w:b/>
        </w:rPr>
        <w:t xml:space="preserve">Assessment:</w:t>
      </w:r>
      <w:r>
        <w:t xml:space="preserve">The assigned</w:t>
      </w:r>
    </w:p>
    <w:p>
      <w:pPr>
        <w:numPr>
          <w:ilvl w:val="0"/>
          <w:numId w:val="1000"/>
        </w:numPr>
        <w:pStyle w:val="Compact"/>
      </w:pPr>
      <w:r>
        <w:t xml:space="preserve">Social Worker, familiar with the local topography, conducted a home visit. Recognizing the traditional setting, they engaged in "Ishin-Denshin" (unspoken understanding) by first discussing seasonal festivals rather than immediate health concerns.</w:t>
      </w:r>
    </w:p>
    <w:p>
      <w:pPr>
        <w:numPr>
          <w:ilvl w:val="0"/>
          <w:numId w:val="1001"/>
        </w:numPr>
        <w:pStyle w:val="Compact"/>
      </w:pPr>
      <w:r>
        <w:rPr>
          <w:bCs/>
          <w:b/>
        </w:rPr>
        <w:t xml:space="preserve">Resource Coordination:</w:t>
      </w:r>
      <w:r>
        <w:t xml:space="preserve">The worker identified that Tanaka-san’s primary barrier was transportation to medical appointments. Leveraging existing partnerships with local taxi cooperatives subsidized by the Kyoto municipal government, the worker arranged for wheelchair-accessible transport.</w:t>
      </w:r>
    </w:p>
    <w:p>
      <w:pPr>
        <w:numPr>
          <w:ilvl w:val="0"/>
          <w:numId w:val="1001"/>
        </w:numPr>
        <w:pStyle w:val="Compact"/>
      </w:pPr>
      <w:r>
        <w:rPr>
          <w:bCs/>
          <w:b/>
        </w:rPr>
        <w:t xml:space="preserve">Cultural Integration:</w:t>
      </w:r>
      <w:r>
        <w:t xml:space="preserve">Instead of suggesting institutional care, which would be culturally unacceptable in this context, the</w:t>
      </w:r>
    </w:p>
    <w:p>
      <w:pPr>
        <w:numPr>
          <w:ilvl w:val="0"/>
          <w:numId w:val="1000"/>
        </w:numPr>
        <w:pStyle w:val="Compact"/>
      </w:pPr>
      <w:r>
        <w:t xml:space="preserve">Social Worker coordinated with a local community group dedicated to preserving Kyo-Yuzen dyeing techniques. Tanaka-san was invited to participate in a lightweight version of the craft, providing social interaction and cognitive stimulation.</w:t>
      </w:r>
    </w:p>
    <w:p>
      <w:pPr>
        <w:pStyle w:val="FirstParagraph"/>
      </w:pPr>
      <w:r>
        <w:t xml:space="preserve">This case demonstrates that effective social work in</w:t>
      </w:r>
      <w:r>
        <w:t xml:space="preserve"> </w:t>
      </w:r>
      <w:r>
        <w:rPr>
          <w:bCs/>
          <w:b/>
        </w:rPr>
        <w:t xml:space="preserve">JJapan Kyoto</w:t>
      </w:r>
      <w:r>
        <w:t xml:space="preserve"> </w:t>
      </w:r>
      <w:r>
        <w:t xml:space="preserve">is not about imposing external solutions but weaving support into the existing cultural tapestry. The success of this intervention relied on the</w:t>
      </w:r>
    </w:p>
    <w:p>
      <w:pPr>
        <w:pStyle w:val="BodyText"/>
      </w:pPr>
      <w:r>
        <w:t xml:space="preserve">Social Worker’s ability to understand local values and utilize community-specific assets.</w:t>
      </w:r>
    </w:p>
    <w:bookmarkEnd w:id="23"/>
    <w:bookmarkStart w:id="24" w:name="systemic-barriers-and-future-directions"/>
    <w:p>
      <w:pPr>
        <w:pStyle w:val="Heading2"/>
      </w:pPr>
      <w:r>
        <w:t xml:space="preserve">5. Systemic Barriers and Future Directions</w:t>
      </w:r>
    </w:p>
    <w:p>
      <w:pPr>
        <w:pStyle w:val="FirstParagraph"/>
      </w:pPr>
      <w:r>
        <w:t xml:space="preserve">Despite these successes, systemic challenges persist for the</w:t>
      </w:r>
      <w:r>
        <w:t xml:space="preserve"> </w:t>
      </w:r>
      <w:r>
        <w:rPr>
          <w:bCs/>
          <w:b/>
        </w:rPr>
        <w:t xml:space="preserve">Social Worker</w:t>
      </w:r>
      <w:r>
        <w:t xml:space="preserve">. One major issue is the fragmentation of services between national welfare policies and municipal implementations in</w:t>
      </w:r>
    </w:p>
    <w:p>
      <w:pPr>
        <w:pStyle w:val="BodyText"/>
      </w:pPr>
      <w:r>
        <w:t xml:space="preserve">JJapan Kyoto. Bureaucratic red tape can delay critical interventions. Additionally, there is a shortage of social workers who are specifically trained in geriatric care within rural prefectures that include parts of greater Kyoto.</w:t>
      </w:r>
    </w:p>
    <w:p>
      <w:pPr>
        <w:pStyle w:val="BodyText"/>
      </w:pPr>
      <w:r>
        <w:t xml:space="preserve">Moreover, the influx of short-term rentals (Minpaku) has altered the neighborhood dynamic. The</w:t>
      </w:r>
      <w:r>
        <w:t xml:space="preserve"> </w:t>
      </w:r>
      <w:r>
        <w:rPr>
          <w:bCs/>
          <w:b/>
        </w:rPr>
        <w:t xml:space="preserve">Social Worker</w:t>
      </w:r>
      <w:r>
        <w:t xml:space="preserve"> </w:t>
      </w:r>
      <w:r>
        <w:t xml:space="preserve">must now navigate conflicts between transient visitors and permanent residents. In some cases, noise complaints from tourists have exacerbated stress for elderly residents who are already vulnerable to hearing loss or sleep disturbances.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JJapan Kyoto</w:t>
      </w:r>
    </w:p>
    <w:p>
      <w:pPr>
        <w:pStyle w:val="BodyText"/>
      </w:pPr>
      <w:r>
        <w:t xml:space="preserve">As</w:t>
      </w:r>
      <w:r>
        <w:t xml:space="preserve"> </w:t>
      </w:r>
      <w:r>
        <w:rPr>
          <w:bCs/>
          <w:b/>
        </w:rPr>
        <w:t xml:space="preserve">JJapan Kyoto</w:t>
      </w:r>
    </w:p>
    <w:p>
      <w:r>
        <w:pict>
          <v:rect style="width:0;height:1.5pt" o:hralign="center" o:hrstd="t" o:hr="t"/>
        </w:pict>
      </w:r>
    </w:p>
    <w:p>
      <w:pPr>
        <w:pStyle w:val="FirstParagraph"/>
      </w:pPr>
      <w:r>
        <w:rPr>
          <w:iCs/>
          <w:i/>
        </w:rPr>
        <w:t xml:space="preserve">Note: This case study is compiled for educational purposes regarding social welfare systems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Work in Japan Kyoto</dc:title>
  <dc:creator/>
  <dc:language>en</dc:language>
  <cp:keywords/>
  <dcterms:created xsi:type="dcterms:W3CDTF">2026-07-29T05:02:07Z</dcterms:created>
  <dcterms:modified xsi:type="dcterms:W3CDTF">2026-07-29T05:02:07Z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