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Japan</w:t>
      </w:r>
      <w:r>
        <w:t xml:space="preserve"> </w:t>
      </w:r>
      <w:r>
        <w:t xml:space="preserve">Osaka</w:t>
      </w:r>
    </w:p>
    <w:bookmarkStart w:id="31" w:name="X56a0345e5f832550619374258a02f892a573bbd"/>
    <w:p>
      <w:pPr>
        <w:pStyle w:val="Heading1"/>
      </w:pPr>
      <w:r>
        <w:t xml:space="preserve">Case Study: Integrated Social Worker Support Systems in Japan Osaka</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Urban Planning Committees, Healthcare Administrators, and Social Policy Makers</w:t>
      </w:r>
      <w:r>
        <w:br/>
      </w:r>
      <w:r>
        <w:rPr>
          <w:bCs/>
          <w:b/>
        </w:rPr>
        <w:t xml:space="preserve">Jurisdiction Focus:</w:t>
      </w:r>
      <w:r>
        <w:t xml:space="preserve"> </w:t>
      </w:r>
      <w:r>
        <w:t xml:space="preserve">Japan Osaka Metropolitan Area</w:t>
      </w:r>
    </w:p>
    <w:bookmarkStart w:id="20" w:name="executive-summary"/>
    <w:p>
      <w:pPr>
        <w:pStyle w:val="Heading2"/>
      </w:pPr>
      <w:r>
        <w:t xml:space="preserve">1. Executive Summary</w:t>
      </w:r>
    </w:p>
    <w:p>
      <w:pPr>
        <w:pStyle w:val="FirstParagraph"/>
      </w:pPr>
      <w:r>
        <w:t xml:space="preserve">This case study examines the evolving role of the modern social worker within the specific socio-demographic context of Japan Osaka. As one of Japan’s most densely populated metropolitan areas, Osaka presents unique challenges regarding aging populations, rapid urbanization, and shifting family structures. The document outlines how a dedicated social worker navigates these complexities to provide holistic support to vulnerable individuals. By focusing on the intersection of traditional Japanese values and modern urban stressors, this study highlights critical strategies for effective intervention in Japan Osaka.</w:t>
      </w:r>
    </w:p>
    <w:bookmarkEnd w:id="20"/>
    <w:bookmarkStart w:id="21" w:name="background-the-context-of-japan-osaka"/>
    <w:p>
      <w:pPr>
        <w:pStyle w:val="Heading2"/>
      </w:pPr>
      <w:r>
        <w:t xml:space="preserve">2. Background: The Context of Japan Osaka</w:t>
      </w:r>
    </w:p>
    <w:p>
      <w:pPr>
        <w:pStyle w:val="FirstParagraph"/>
      </w:pPr>
      <w:r>
        <w:rPr>
          <w:bCs/>
          <w:b/>
        </w:rPr>
        <w:t xml:space="preserve">Demographic Pressures:</w:t>
      </w:r>
      <w:r>
        <w:br/>
      </w:r>
      <w:r>
        <w:t xml:space="preserve">The demographic landscape of Japan is shifting dramatically, with an increasing proportion of elderly citizens requiring care. In Japan Osaka, this trend is amplified by the city’s status as a commercial hub that attracts younger workers while simultaneously retaining a large retiree population. This "sandwich generation" phenomenon leaves many middle-aged adults caring for both young children and aging parents.</w:t>
      </w:r>
    </w:p>
    <w:p>
      <w:pPr>
        <w:pStyle w:val="BodyText"/>
      </w:pPr>
      <w:r>
        <w:rPr>
          <w:bCs/>
          <w:b/>
        </w:rPr>
        <w:t xml:space="preserve">Urban Density and Isolation:</w:t>
      </w:r>
      <w:r>
        <w:br/>
      </w:r>
      <w:r>
        <w:t xml:space="preserve">Osaka is renowned for its vibrant culture and communal spirit; however, high-density living in apartment complexes often leads to social isolation. The concept of</w:t>
      </w:r>
      <w:r>
        <w:t xml:space="preserve"> </w:t>
      </w:r>
      <w:r>
        <w:rPr>
          <w:iCs/>
          <w:i/>
        </w:rPr>
        <w:t xml:space="preserve">Kodate</w:t>
      </w:r>
      <w:r>
        <w:t xml:space="preserve"> </w:t>
      </w:r>
      <w:r>
        <w:t xml:space="preserve">(loneliness) affects not only the elderly but also young adults struggling with employment pressures. For a social worker operating in this environment, the challenge is not merely resource allocation but rebuilding community ties within concrete jungles.</w:t>
      </w:r>
    </w:p>
    <w:bookmarkEnd w:id="21"/>
    <w:bookmarkStart w:id="22" w:name="case-profile-the-individual-in-need"/>
    <w:p>
      <w:pPr>
        <w:pStyle w:val="Heading2"/>
      </w:pPr>
      <w:r>
        <w:t xml:space="preserve">3. Case Profile: The Individual in Need</w:t>
      </w:r>
    </w:p>
    <w:p>
      <w:pPr>
        <w:pStyle w:val="FirstParagraph"/>
      </w:pPr>
      <w:r>
        <w:rPr>
          <w:bCs/>
          <w:b/>
        </w:rPr>
        <w:t xml:space="preserve">Candidate:</w:t>
      </w:r>
      <w:r>
        <w:t xml:space="preserve"> </w:t>
      </w:r>
      <w:r>
        <w:t xml:space="preserve">"Mr. Tanaka" (Pseudonym), 74 years old.</w:t>
      </w:r>
      <w:r>
        <w:br/>
      </w:r>
      <w:r>
        <w:rPr>
          <w:bCs/>
          <w:b/>
        </w:rPr>
        <w:t xml:space="preserve">Status:</w:t>
      </w:r>
      <w:r>
        <w:t xml:space="preserve"> </w:t>
      </w:r>
      <w:r>
        <w:t xml:space="preserve">Widowed, living alone in a high-rise apartment in Namba, Japan Osaka.</w:t>
      </w:r>
      <w:r>
        <w:br/>
      </w:r>
    </w:p>
    <w:p>
      <w:pPr>
        <w:pStyle w:val="BodyText"/>
      </w:pPr>
      <w:r>
        <w:t xml:space="preserve">Presenting Issues:</w:t>
      </w:r>
    </w:p>
    <w:p>
      <w:pPr>
        <w:numPr>
          <w:ilvl w:val="0"/>
          <w:numId w:val="1001"/>
        </w:numPr>
        <w:pStyle w:val="Compact"/>
      </w:pPr>
      <w:r>
        <w:t xml:space="preserve">Mobility limitations due to recent stroke.</w:t>
      </w:r>
    </w:p>
    <w:p>
      <w:pPr>
        <w:numPr>
          <w:ilvl w:val="0"/>
          <w:numId w:val="1001"/>
        </w:numPr>
        <w:pStyle w:val="Compact"/>
      </w:pPr>
      <w:r>
        <w:t xml:space="preserve">Social withdrawal following the death of his spouse three years prior.</w:t>
      </w:r>
    </w:p>
    <w:p>
      <w:pPr>
        <w:numPr>
          <w:ilvl w:val="0"/>
          <w:numId w:val="1001"/>
        </w:numPr>
        <w:pStyle w:val="Compact"/>
      </w:pPr>
      <w:r>
        <w:t xml:space="preserve">Nutritional deficiencies due to inability to prepare meals independently.</w:t>
      </w:r>
    </w:p>
    <w:p>
      <w:pPr>
        <w:pStyle w:val="FirstParagraph"/>
      </w:pPr>
      <w:r>
        <w:rPr>
          <w:bCs/>
          <w:b/>
        </w:rPr>
        <w:t xml:space="preserve">Social Worker’s Initial Assessment:</w:t>
      </w:r>
      <w:r>
        <w:br/>
      </w:r>
      <w:r>
        <w:t xml:space="preserve">The assigned social worker, Ms. Sato, conducted an initial home visit. She noted that while Mr. Tanaka was physically safe, he exhibited signs of severe depression and lacked a support network. His children live in other prefectures and communicate only via monthly phone calls, highlighting the geographical fragmentation common in modern Japan.</w:t>
      </w:r>
    </w:p>
    <w:bookmarkEnd w:id="22"/>
    <w:bookmarkStart w:id="26" w:name="X14ddfdb689e7f0d6d2285cab4d56f86ba22cdd5"/>
    <w:p>
      <w:pPr>
        <w:pStyle w:val="Heading2"/>
      </w:pPr>
      <w:r>
        <w:t xml:space="preserve">4. Intervention Strategy: The Role of the Social Worker</w:t>
      </w:r>
    </w:p>
    <w:p>
      <w:pPr>
        <w:pStyle w:val="FirstParagraph"/>
      </w:pPr>
      <w:r>
        <w:t xml:space="preserve">The intervention plan developed by Ms. Sato was multifaceted, leveraging both state resources and community-based initiatives specific to Japan Osaka.</w:t>
      </w:r>
    </w:p>
    <w:bookmarkStart w:id="23" w:name="Xe8daa764e9bb4e0bccbdf59a9b07ee7fa256056"/>
    <w:p>
      <w:pPr>
        <w:pStyle w:val="Heading3"/>
      </w:pPr>
      <w:r>
        <w:t xml:space="preserve">A. Navigating the Long-Term Care Insurance (LTCI) System</w:t>
      </w:r>
    </w:p>
    <w:p>
      <w:pPr>
        <w:pStyle w:val="FirstParagraph"/>
      </w:pPr>
      <w:r>
        <w:t xml:space="preserve">In Japan, the LTCI system is a cornerstone of social support. Ms. Sato assisted Mr. Tanaka in applying for Level 2 certification, which grants access to home-care services and meal delivery. However, navigating the bureaucratic language and digital portals proved difficult for Mr. Tanaka’s family due to distance. The social worker acted as an intermediary, translating technical requirements into actionable steps for his relatives via video conferencing.</w:t>
      </w:r>
    </w:p>
    <w:bookmarkEnd w:id="23"/>
    <w:bookmarkStart w:id="24" w:name="X9f476f6f2d8a5ff4d9d97af0aedc762a36087f8"/>
    <w:p>
      <w:pPr>
        <w:pStyle w:val="Heading3"/>
      </w:pPr>
      <w:r>
        <w:t xml:space="preserve">B. Community Integration through "Community Hubs"</w:t>
      </w:r>
    </w:p>
    <w:p>
      <w:pPr>
        <w:pStyle w:val="FirstParagraph"/>
      </w:pPr>
      <w:r>
        <w:t xml:space="preserve">Japans Osaka has seen a rise in community support centers designed to combat isolation. Ms. Sato identified a local</w:t>
      </w:r>
      <w:r>
        <w:t xml:space="preserve"> </w:t>
      </w:r>
      <w:r>
        <w:rPr>
          <w:iCs/>
          <w:i/>
        </w:rPr>
        <w:t xml:space="preserve">Komyuniti Sentaa</w:t>
      </w:r>
      <w:r>
        <w:t xml:space="preserve"> </w:t>
      </w:r>
      <w:r>
        <w:t xml:space="preserve">(Community Center) near Mr. Tanaka’s apartment that offered low-impact exercise classes for seniors with mobility issues.</w:t>
      </w:r>
    </w:p>
    <w:p>
      <w:pPr>
        <w:pStyle w:val="BodyText"/>
      </w:pPr>
      <w:r>
        <w:rPr>
          <w:bCs/>
          <w:b/>
        </w:rPr>
        <w:t xml:space="preserve">Action Taken:</w:t>
      </w:r>
      <w:r>
        <w:br/>
      </w:r>
      <w:r>
        <w:t xml:space="preserve">The social worker accompanied Mr. Tanaka to his first session to provide emotional security. Over six weeks, she gradually reduced her presence, encouraging him to form peer connections with other participants. This strategy aimed to shift his reliance from professional care to mutual aid within the community.</w:t>
      </w:r>
    </w:p>
    <w:bookmarkEnd w:id="24"/>
    <w:bookmarkStart w:id="25" w:name="c.-digital-literacy-training"/>
    <w:p>
      <w:pPr>
        <w:pStyle w:val="Heading3"/>
      </w:pPr>
      <w:r>
        <w:t xml:space="preserve">C. Digital Literacy Training</w:t>
      </w:r>
    </w:p>
    <w:p>
      <w:pPr>
        <w:pStyle w:val="FirstParagraph"/>
      </w:pPr>
      <w:r>
        <w:t xml:space="preserve">To bridge the geographical gap with his children, Ms. Sato implemented a digital literacy program using simple tablets pre-set with video calling apps. This was crucial for maintaining familial bonds, which are central to mental well-being in Japanese culture.</w:t>
      </w:r>
    </w:p>
    <w:bookmarkEnd w:id="25"/>
    <w:bookmarkEnd w:id="26"/>
    <w:bookmarkStart w:id="27" w:name="challenges-encountered"/>
    <w:p>
      <w:pPr>
        <w:pStyle w:val="Heading2"/>
      </w:pPr>
      <w:r>
        <w:t xml:space="preserve">5. Challenges Encountered</w:t>
      </w:r>
    </w:p>
    <w:p>
      <w:pPr>
        <w:numPr>
          <w:ilvl w:val="0"/>
          <w:numId w:val="1002"/>
        </w:numPr>
        <w:pStyle w:val="Compact"/>
      </w:pPr>
      <w:r>
        <w:rPr>
          <w:bCs/>
          <w:b/>
        </w:rPr>
        <w:t xml:space="preserve">Cultural Stigma:</w:t>
      </w:r>
      <w:r>
        <w:t xml:space="preserve"> </w:t>
      </w:r>
      <w:r>
        <w:t xml:space="preserve">Initially, Mr. Tanaka resisted accepting help due to the cultural value of self-reliance (</w:t>
      </w:r>
      <w:r>
        <w:rPr>
          <w:iCs/>
          <w:i/>
        </w:rPr>
        <w:t xml:space="preserve">Jiritsu</w:t>
      </w:r>
      <w:r>
        <w:t xml:space="preserve">). Overcoming this required framing assistance as a temporary measure rather than a permanent dependency.</w:t>
      </w:r>
    </w:p>
    <w:p>
      <w:pPr>
        <w:numPr>
          <w:ilvl w:val="0"/>
          <w:numId w:val="1002"/>
        </w:numPr>
        <w:pStyle w:val="Compact"/>
      </w:pPr>
      <w:r>
        <w:rPr>
          <w:bCs/>
          <w:b/>
        </w:rPr>
        <w:t xml:space="preserve">Linguistic Barriers for Family:</w:t>
      </w:r>
      <w:r>
        <w:t xml:space="preserve"> </w:t>
      </w:r>
      <w:r>
        <w:t xml:space="preserve">Although Mr. Tanaka’s family speaks Japanese, they were unfamiliar with the specific terminology used by Osaka local government offices. The social worker had to provide glossaries and real-time translation support during administrative meetings.</w:t>
      </w:r>
    </w:p>
    <w:p>
      <w:pPr>
        <w:numPr>
          <w:ilvl w:val="0"/>
          <w:numId w:val="1002"/>
        </w:numPr>
        <w:pStyle w:val="Compact"/>
      </w:pPr>
      <w:r>
        <w:rPr>
          <w:bCs/>
          <w:b/>
        </w:rPr>
        <w:t xml:space="preserve">Resource Scarcity:</w:t>
      </w:r>
      <w:r>
        <w:t xml:space="preserve"> </w:t>
      </w:r>
      <w:r>
        <w:t xml:space="preserve">In high-demand areas of Japan Osaka, home-care slots can be limited. The social worker had to lobby aggressively within the municipal system to secure timely service allocation.</w:t>
      </w:r>
    </w:p>
    <w:bookmarkEnd w:id="27"/>
    <w:bookmarkStart w:id="28" w:name="outcomes-and-impact"/>
    <w:p>
      <w:pPr>
        <w:pStyle w:val="Heading2"/>
      </w:pPr>
      <w:r>
        <w:t xml:space="preserve">6. Outcomes and Impact</w:t>
      </w:r>
    </w:p>
    <w:p>
      <w:pPr>
        <w:pStyle w:val="FirstParagraph"/>
      </w:pPr>
      <w:r>
        <w:rPr>
          <w:bCs/>
          <w:b/>
        </w:rPr>
        <w:t xml:space="preserve">Clinical Improvement:</w:t>
      </w:r>
      <w:r>
        <w:br/>
      </w:r>
      <w:r>
        <w:t xml:space="preserve">After six months, Mr. Tanaka’s nutritional status improved significantly due to regular meal deliveries. His physical therapy sessions, arranged through the LTCI system, helped him regain partial mobility.</w:t>
      </w:r>
    </w:p>
    <w:p>
      <w:pPr>
        <w:pStyle w:val="BodyText"/>
      </w:pPr>
      <w:r>
        <w:rPr>
          <w:bCs/>
          <w:b/>
        </w:rPr>
        <w:t xml:space="preserve">Social Reintegration:</w:t>
      </w:r>
      <w:r>
        <w:br/>
      </w:r>
      <w:r>
        <w:t xml:space="preserve">The most significant outcome was behavioral. Mr. Tanaka began attending the community center weekly and formed friendships with two other residents. He reported a 40% reduction in feelings of loneliness on standardized well-being scales.</w:t>
      </w:r>
    </w:p>
    <w:p>
      <w:pPr>
        <w:pStyle w:val="BodyText"/>
      </w:pPr>
      <w:r>
        <w:rPr>
          <w:bCs/>
          <w:b/>
        </w:rPr>
        <w:t xml:space="preserve">Familial Connection:</w:t>
      </w:r>
      <w:r>
        <w:br/>
      </w:r>
      <w:r>
        <w:t xml:space="preserve">Video calls became a daily routine, strengthening his bond with his children despite their distance. The social worker’s role in facilitating this technology use was cited as critical to preventing family estrangement.</w:t>
      </w:r>
    </w:p>
    <w:bookmarkEnd w:id="28"/>
    <w:bookmarkStart w:id="29" w:name="X7721c9bd05a8a2824c756bac6438842c688e8e4"/>
    <w:p>
      <w:pPr>
        <w:pStyle w:val="Heading2"/>
      </w:pPr>
      <w:r>
        <w:t xml:space="preserve">7. Lessons Learned for Social Work Practice in Japan Osaka</w:t>
      </w:r>
    </w:p>
    <w:p>
      <w:pPr>
        <w:pStyle w:val="FirstParagraph"/>
      </w:pPr>
      <w:r>
        <w:rPr>
          <w:bCs/>
          <w:b/>
        </w:rPr>
        <w:t xml:space="preserve">Holistic Approach is Essential:</w:t>
      </w:r>
      <w:r>
        <w:br/>
      </w:r>
      <w:r>
        <w:t xml:space="preserve">The case demonstrates that physical health cannot be separated from social and emotional well-being. A successful social worker must address housing, nutrition, loneliness, and family dynamics simultaneously.</w:t>
      </w:r>
    </w:p>
    <w:p>
      <w:pPr>
        <w:pStyle w:val="BodyText"/>
      </w:pPr>
      <w:r>
        <w:rPr>
          <w:bCs/>
          <w:b/>
        </w:rPr>
        <w:t xml:space="preserve">Cultural Competency:</w:t>
      </w:r>
      <w:r>
        <w:br/>
      </w:r>
      <w:r>
        <w:t xml:space="preserve">Understanding the nuances of Japanese hierarchy and communication styles is vital. In Japan Osaka, where directness can sometimes be perceived as rude indirect negotiation strategies were required to secure resources without offending service providers.</w:t>
      </w:r>
    </w:p>
    <w:p>
      <w:pPr>
        <w:pStyle w:val="BodyText"/>
      </w:pPr>
      <w:r>
        <w:rPr>
          <w:bCs/>
          <w:b/>
        </w:rPr>
        <w:t xml:space="preserve">Leveraging Local Networks:</w:t>
      </w:r>
      <w:r>
        <w:br/>
      </w:r>
      <w:r>
        <w:t xml:space="preserve">Osaka’s strong community ethos (</w:t>
      </w:r>
      <w:r>
        <w:rPr>
          <w:iCs/>
          <w:i/>
        </w:rPr>
        <w:t xml:space="preserve">Kizuna</w:t>
      </w:r>
      <w:r>
        <w:t xml:space="preserve">) can be a powerful tool if activated correctly. Social workers should prioritize connecting clients with existing local groups rather than creating isolated interventions.</w:t>
      </w:r>
    </w:p>
    <w:bookmarkEnd w:id="29"/>
    <w:bookmarkStart w:id="30" w:name="conclusion"/>
    <w:p>
      <w:pPr>
        <w:pStyle w:val="Heading2"/>
      </w:pPr>
      <w:r>
        <w:t xml:space="preserve">8. Conclusion</w:t>
      </w:r>
    </w:p>
    <w:p>
      <w:pPr>
        <w:pStyle w:val="FirstParagraph"/>
      </w:pPr>
      <w:r>
        <w:t xml:space="preserve">This case study illustrates the critical importance of specialized social worker intervention in complex urban environments like Japan Osaka. By combining institutional knowledge of national systems (LTCI) with hyper-local community engagement, social workers can effectively mitigate the risks associated with aging and isolation.</w:t>
      </w:r>
    </w:p>
    <w:p>
      <w:pPr>
        <w:pStyle w:val="BodyText"/>
      </w:pPr>
      <w:r>
        <w:t xml:space="preserve">For policymakers and healthcare administrators, this document underscores the need for continued investment in training social workers who are culturally adept and technologically proficient. The future of elderly care in Japan Osaka will depend on our ability to empower professionals like Ms. Sato to weave together the safety net that keeps individuals like Mr. Tanaka from falling through the cracks.</w:t>
      </w:r>
    </w:p>
    <w:p>
      <w:pPr>
        <w:pStyle w:val="BodyText"/>
      </w:pPr>
      <w:r>
        <w:rPr>
          <w:iCs/>
          <w:i/>
        </w:rPr>
        <w:t xml:space="preserve">Disclaimer: This document is for educational and illustrative purposes only. All names and specific details have been altered to protect privacy, though demographic trends reflect current realities in Japan Osaka.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 in Japan Osaka</dc:title>
  <dc:creator/>
  <dc:language>en</dc:language>
  <cp:keywords/>
  <dcterms:created xsi:type="dcterms:W3CDTF">2026-07-29T13:54:16Z</dcterms:created>
  <dcterms:modified xsi:type="dcterms:W3CDTF">2026-07-29T13:54:16Z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