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Social</w:t>
      </w:r>
      <w:r>
        <w:t xml:space="preserve"> </w:t>
      </w:r>
      <w:r>
        <w:t xml:space="preserve">Work</w:t>
      </w:r>
      <w:r>
        <w:t xml:space="preserve"> </w:t>
      </w:r>
      <w:r>
        <w:t xml:space="preserve">Intervention</w:t>
      </w:r>
      <w:r>
        <w:t xml:space="preserve"> </w:t>
      </w:r>
      <w:r>
        <w:t xml:space="preserve">in</w:t>
      </w:r>
      <w:r>
        <w:t xml:space="preserve"> </w:t>
      </w:r>
      <w:r>
        <w:t xml:space="preserve">Kuwait</w:t>
      </w:r>
      <w:r>
        <w:t xml:space="preserve"> </w:t>
      </w:r>
      <w:r>
        <w:t xml:space="preserve">City</w:t>
      </w:r>
    </w:p>
    <w:bookmarkStart w:id="30" w:name="Xf067c41eda352ed88eddb1763427650b3673a91"/>
    <w:p>
      <w:pPr>
        <w:pStyle w:val="Heading1"/>
      </w:pPr>
      <w:r>
        <w:t xml:space="preserve">A Case Study Report on the Role of the Social Worker in Kuwait City</w:t>
      </w:r>
    </w:p>
    <w:p>
      <w:pPr>
        <w:pStyle w:val="FirstParagraph"/>
      </w:pPr>
      <w:r>
        <w:rPr>
          <w:bCs/>
          <w:b/>
        </w:rPr>
        <w:t xml:space="preserve">Date:</w:t>
      </w:r>
      <w:r>
        <w:t xml:space="preserve"> </w:t>
      </w:r>
      <w:r>
        <w:t xml:space="preserve">October 24, 2023</w:t>
      </w:r>
      <w:r>
        <w:br/>
      </w:r>
      <w:r>
        <w:rPr>
          <w:bCs/>
          <w:b/>
        </w:rPr>
        <w:t xml:space="preserve">Locus:</w:t>
      </w:r>
      <w:r>
        <w:t xml:space="preserve"> </w:t>
      </w:r>
      <w:r>
        <w:t xml:space="preserve">Kuwait City, State of Kuwait</w:t>
      </w:r>
      <w:r>
        <w:br/>
      </w:r>
      <w:r>
        <w:rPr>
          <w:bCs/>
          <w:b/>
        </w:rPr>
        <w:t xml:space="preserve">Subject:</w:t>
      </w:r>
      <w:r>
        <w:t xml:space="preserve"> </w:t>
      </w:r>
      <w:r>
        <w:t xml:space="preserve">Integrated Family Support and Community Reintegration</w:t>
      </w:r>
    </w:p>
    <w:p>
      <w:pPr>
        <w:pStyle w:val="BodyText"/>
      </w:pPr>
      <w:r>
        <w:rPr>
          <w:iCs/>
          <w:i/>
        </w:rPr>
        <w:t xml:space="preserve">This document outlines a comprehensive case study examining the multifaceted role of a</w:t>
      </w:r>
      <w:r>
        <w:rPr>
          <w:iCs/>
          <w:i/>
        </w:rPr>
        <w:t xml:space="preserve"> </w:t>
      </w:r>
      <w:r>
        <w:rPr>
          <w:iCs/>
          <w:i/>
        </w:rPr>
        <w:t xml:space="preserve">Social Worker within the specific cultural, legal, and social context of Kuwait City. It highlights</w:t>
      </w:r>
      <w:r>
        <w:rPr>
          <w:iCs/>
          <w:i/>
        </w:rPr>
        <w:t xml:space="preserve"> </w:t>
      </w:r>
      <w:r>
        <w:rPr>
          <w:iCs/>
          <w:i/>
        </w:rPr>
        <w:t xml:space="preserve">how modern social work practices intersect with traditional Islamic values and state-sponsored welfare systems.</w:t>
      </w:r>
    </w:p>
    <w:bookmarkStart w:id="20" w:name="introduction"/>
    <w:p>
      <w:pPr>
        <w:pStyle w:val="Heading2"/>
      </w:pPr>
      <w:r>
        <w:t xml:space="preserve">1. Introduction</w:t>
      </w:r>
    </w:p>
    <w:p>
      <w:pPr>
        <w:pStyle w:val="FirstParagraph"/>
      </w:pPr>
      <w:r>
        <w:t xml:space="preserve">The landscape of social services in the Middle East has undergone significant transformation over the last two decades, driven by rapid urbanization, demographic shifts, and evolving family structures. At the heart of this transformation is the role of the</w:t>
      </w:r>
      <w:r>
        <w:t xml:space="preserve"> </w:t>
      </w:r>
      <w:r>
        <w:t xml:space="preserve">Social Worker, an increasingly pivotal professional tasked with bridging gaps between government resources and vulnerable populations. This case study focuses specifically on Kuwait City, a metropolis characterized by its high standard of living yet facing complex socio-psychological challenges.</w:t>
      </w:r>
    </w:p>
    <w:p>
      <w:pPr>
        <w:pStyle w:val="BodyText"/>
      </w:pPr>
      <w:r>
        <w:t xml:space="preserve">In Kuwait City, the social fabric is deeply rooted in tribal lineage and Islamic traditions. However, modern pressures—including expatriate population dynamics, economic diversification away from oil dependence for younger generations, and changing gender roles—have created new stressors for families. The</w:t>
      </w:r>
      <w:r>
        <w:t xml:space="preserve"> </w:t>
      </w:r>
      <w:r>
        <w:t xml:space="preserve">Social Worker in this context is not merely a counselor but a cultural broker, advocate, and case manager who must navigate these intricate layers to provide effective support.</w:t>
      </w:r>
    </w:p>
    <w:bookmarkEnd w:id="20"/>
    <w:bookmarkStart w:id="22" w:name="case-profile-ahmeds-story"/>
    <w:p>
      <w:pPr>
        <w:pStyle w:val="Heading2"/>
      </w:pPr>
      <w:r>
        <w:t xml:space="preserve">2. Case Profile: "Ahmed's" Story</w:t>
      </w:r>
    </w:p>
    <w:p>
      <w:pPr>
        <w:pStyle w:val="FirstParagraph"/>
      </w:pPr>
      <w:r>
        <w:t xml:space="preserve">To illustrate the practical application of social work in Kuwait City, we examine the anonymized case of "Ahmed," a 34-year-old native Kuwaiti male. Ahmed was referred to a local community center in Salmiya (a prominent district within the greater Kuwait City metropolitan area) by his workplace due to sudden behavioral changes and declining performance.</w:t>
      </w:r>
    </w:p>
    <w:bookmarkStart w:id="21" w:name="background-and-presenting-problems"/>
    <w:p>
      <w:pPr>
        <w:pStyle w:val="Heading3"/>
      </w:pPr>
      <w:r>
        <w:t xml:space="preserve">2.1 Background and Presenting Problems</w:t>
      </w:r>
    </w:p>
    <w:p>
      <w:pPr>
        <w:pStyle w:val="FirstParagraph"/>
      </w:pPr>
      <w:r>
        <w:t xml:space="preserve">Ahmed had been employed in the public sector for twelve years. Recently, he began exhibiting signs of severe anxiety, social withdrawal, and irritability. Upon deeper assessment by the assigned</w:t>
      </w:r>
      <w:r>
        <w:t xml:space="preserve"> </w:t>
      </w:r>
      <w:r>
        <w:t xml:space="preserve">Social Worker, it was revealed that Ahmed’s father had passed away six months prior. As the eldest son, Ahmed assumed full responsibility for his mother’s care and three younger siblings who were still in university.</w:t>
      </w:r>
    </w:p>
    <w:p>
      <w:pPr>
        <w:pStyle w:val="BodyText"/>
      </w:pPr>
      <w:r>
        <w:t xml:space="preserve">The primary issues identified were:</w:t>
      </w:r>
    </w:p>
    <w:p>
      <w:pPr>
        <w:numPr>
          <w:ilvl w:val="0"/>
          <w:numId w:val="1001"/>
        </w:numPr>
        <w:pStyle w:val="Compact"/>
      </w:pPr>
      <w:r>
        <w:rPr>
          <w:bCs/>
          <w:b/>
        </w:rPr>
        <w:t xml:space="preserve">Economic Strain:</w:t>
      </w:r>
      <w:r>
        <w:t xml:space="preserve"> </w:t>
      </w:r>
      <w:r>
        <w:t xml:space="preserve">Although Kuwaiti nationals receive state subsidies, the unexpected medical costs of his father’s final illness depleted Ahmed's savings.</w:t>
      </w:r>
    </w:p>
    <w:p>
      <w:pPr>
        <w:numPr>
          <w:ilvl w:val="0"/>
          <w:numId w:val="1001"/>
        </w:numPr>
        <w:pStyle w:val="Compact"/>
      </w:pPr>
      <w:r>
        <w:rPr>
          <w:bCs/>
          <w:b/>
        </w:rPr>
        <w:t xml:space="preserve">Caregiver Burnout:</w:t>
      </w:r>
      <w:r>
        <w:t xml:space="preserve"> </w:t>
      </w:r>
      <w:r>
        <w:t xml:space="preserve">Ahmed was struggling to balance professional duties with the intense cultural expectation to provide round-the-clock care for his mother.</w:t>
      </w:r>
    </w:p>
    <w:p>
      <w:pPr>
        <w:numPr>
          <w:ilvl w:val="0"/>
          <w:numId w:val="1001"/>
        </w:numPr>
        <w:pStyle w:val="Compact"/>
      </w:pPr>
      <w:r>
        <w:rPr>
          <w:bCs/>
          <w:b/>
        </w:rPr>
        <w:t xml:space="preserve">Social Isolation:</w:t>
      </w:r>
      <w:r>
        <w:t xml:space="preserve"> </w:t>
      </w:r>
      <w:r>
        <w:t xml:space="preserve">Due to financial constraints and emotional distress, Ahmed had withdrawn from his usual social circles, leading to a lack of support network.</w:t>
      </w:r>
    </w:p>
    <w:bookmarkEnd w:id="21"/>
    <w:bookmarkEnd w:id="22"/>
    <w:bookmarkStart w:id="26" w:name="X5befec56a7c9b0aeb2e05302df01b5d550d0c73"/>
    <w:p>
      <w:pPr>
        <w:pStyle w:val="Heading2"/>
      </w:pPr>
      <w:r>
        <w:t xml:space="preserve">3. The Role of the Social Worker in Intervention</w:t>
      </w:r>
    </w:p>
    <w:p>
      <w:pPr>
        <w:pStyle w:val="FirstParagraph"/>
      </w:pPr>
      <w:r>
        <w:t xml:space="preserve">The</w:t>
      </w:r>
      <w:r>
        <w:t xml:space="preserve"> </w:t>
      </w:r>
      <w:r>
        <w:t xml:space="preserve">Social Worker assigned to Ahmed’s case employed a bio-psycho-social-spiritual assessment model, tailored to the Kuwaiti context. The intervention strategy was divided into three distinct phases: Assessment, Resource Mobilization, and Psychosocial Support.</w:t>
      </w:r>
    </w:p>
    <w:bookmarkStart w:id="23" w:name="cultural-competence-and-trust-building"/>
    <w:p>
      <w:pPr>
        <w:pStyle w:val="Heading3"/>
      </w:pPr>
      <w:r>
        <w:t xml:space="preserve">3.1 Cultural Competence and Trust Building</w:t>
      </w:r>
    </w:p>
    <w:p>
      <w:pPr>
        <w:pStyle w:val="FirstParagraph"/>
      </w:pPr>
      <w:r>
        <w:t xml:space="preserve">The initial step for any</w:t>
      </w:r>
      <w:r>
        <w:t xml:space="preserve"> </w:t>
      </w:r>
      <w:r>
        <w:t xml:space="preserve">Social Worker in Kuwait City is establishing trust within a framework of confidentiality that respects Islamic privacy norms. The social worker engaged in home visits, which are common practice in Kuwait to demonstrate respect and understand the domestic environment. By acknowledging the importance of family hierarchy and filial piety, the</w:t>
      </w:r>
      <w:r>
        <w:t xml:space="preserve"> </w:t>
      </w:r>
      <w:r>
        <w:t xml:space="preserve">Social Worker validated Ahmed’s feelings of duty while gently introducing the concept that seeking help does not equate to weakness.</w:t>
      </w:r>
    </w:p>
    <w:bookmarkEnd w:id="23"/>
    <w:bookmarkStart w:id="24" w:name="navigating-state-systems"/>
    <w:p>
      <w:pPr>
        <w:pStyle w:val="Heading3"/>
      </w:pPr>
      <w:r>
        <w:t xml:space="preserve">3.2 Navigating State Systems</w:t>
      </w:r>
    </w:p>
    <w:p>
      <w:pPr>
        <w:pStyle w:val="FirstParagraph"/>
      </w:pPr>
      <w:r>
        <w:t xml:space="preserve">A critical function of the</w:t>
      </w:r>
      <w:r>
        <w:t xml:space="preserve"> </w:t>
      </w:r>
      <w:r>
        <w:t xml:space="preserve">Social Worker is acting as a liaison with government entities. In Kuwait, social welfare is heavily administered by the Ministry of Social Affairs and Labour (MSAL). The</w:t>
      </w:r>
      <w:r>
        <w:t xml:space="preserve"> </w:t>
      </w:r>
      <w:r>
        <w:t xml:space="preserve">Social Worker assisted Ahmed in applying for temporary emergency aid under the "National Fund for Support" and evaluated his eligibility for home-care nursing services through state-approved providers. This bureaucratic navigation is a key aspect of modern social work in Kuwait City, where processes can be complex and fragmented.</w:t>
      </w:r>
    </w:p>
    <w:bookmarkEnd w:id="24"/>
    <w:bookmarkStart w:id="25" w:name="psychosocial-counseling"/>
    <w:p>
      <w:pPr>
        <w:pStyle w:val="Heading3"/>
      </w:pPr>
      <w:r>
        <w:t xml:space="preserve">3.3 Psychosocial Counseling</w:t>
      </w:r>
    </w:p>
    <w:p>
      <w:pPr>
        <w:pStyle w:val="FirstParagraph"/>
      </w:pPr>
      <w:r>
        <w:t xml:space="preserve">Beyond resource allocation, the</w:t>
      </w:r>
      <w:r>
        <w:t xml:space="preserve"> </w:t>
      </w:r>
      <w:r>
        <w:t xml:space="preserve">Social Worker provided cognitive-behavioral therapy techniques to manage Ahmed’s anxiety. Given the growing awareness of mental health in Kuwait, counseling is becoming less stigmatized, particularly among younger demographics. The social worker incorporated spiritual counseling resources, collaborating with local imams to provide religious reassurance regarding grief and patience (Sabr), thereby aligning clinical interventions with Ahmed’s cultural identity.</w:t>
      </w:r>
    </w:p>
    <w:bookmarkEnd w:id="25"/>
    <w:bookmarkEnd w:id="26"/>
    <w:bookmarkStart w:id="27" w:name="challenges-specific-to-kuwait-city"/>
    <w:p>
      <w:pPr>
        <w:pStyle w:val="Heading2"/>
      </w:pPr>
      <w:r>
        <w:t xml:space="preserve">4. Challenges Specific to Kuwait City</w:t>
      </w:r>
    </w:p>
    <w:p>
      <w:pPr>
        <w:pStyle w:val="FirstParagraph"/>
      </w:pPr>
      <w:r>
        <w:t xml:space="preserve">The case of Ahmed highlights several challenges specific to practicing social work in</w:t>
      </w:r>
      <w:r>
        <w:t xml:space="preserve"> </w:t>
      </w:r>
      <w:r>
        <w:t xml:space="preserve">Kuwait City:</w:t>
      </w:r>
    </w:p>
    <w:p>
      <w:pPr>
        <w:numPr>
          <w:ilvl w:val="0"/>
          <w:numId w:val="1002"/>
        </w:numPr>
        <w:pStyle w:val="Compact"/>
      </w:pPr>
      <w:r>
        <w:rPr>
          <w:bCs/>
          <w:b/>
        </w:rPr>
        <w:t xml:space="preserve">Dual Population Dynamics:</w:t>
      </w:r>
      <w:r>
        <w:br/>
      </w:r>
      <w:r>
        <w:t xml:space="preserve">The distinction between the treatment of citizens and non-citizens (expatriates) requires social workers to operate within two very different legal and ethical frameworks. While Ahmed benefited from extensive state support, expatriate families often lack safety nets, creating a disparity that</w:t>
      </w:r>
      <w:r>
        <w:t xml:space="preserve"> </w:t>
      </w:r>
      <w:r>
        <w:t xml:space="preserve">Social Workers must address through private charity networks.</w:t>
      </w:r>
    </w:p>
    <w:p>
      <w:pPr>
        <w:numPr>
          <w:ilvl w:val="0"/>
          <w:numId w:val="1002"/>
        </w:numPr>
        <w:pStyle w:val="Compact"/>
      </w:pPr>
      <w:r>
        <w:rPr>
          <w:bCs/>
          <w:b/>
        </w:rPr>
        <w:t xml:space="preserve">Urban Isolation in High-Rise Living:</w:t>
      </w:r>
      <w:r>
        <w:br/>
      </w:r>
      <w:r>
        <w:t xml:space="preserve">Kuwait City has seen a surge in high-rise apartment living. Unlike traditional neighborhoods with close-knit community bonds, modern urban design can lead to isolation. The</w:t>
      </w:r>
      <w:r>
        <w:t xml:space="preserve"> </w:t>
      </w:r>
      <w:r>
        <w:t xml:space="preserve">Social Worker had to actively help Ahmed rebuild his social capital by connecting him with peer support groups for young men facing similar pressures.</w:t>
      </w:r>
    </w:p>
    <w:p>
      <w:pPr>
        <w:numPr>
          <w:ilvl w:val="0"/>
          <w:numId w:val="1002"/>
        </w:numPr>
        <w:pStyle w:val="Compact"/>
      </w:pPr>
      <w:r>
        <w:rPr>
          <w:bCs/>
          <w:b/>
        </w:rPr>
        <w:t xml:space="preserve">Stigma Regarding Mental Health:</w:t>
      </w:r>
      <w:r>
        <w:br/>
      </w:r>
      <w:r>
        <w:t xml:space="preserve">Despite progress, stigma remains a barrier in Kuwait City. The</w:t>
      </w:r>
      <w:r>
        <w:t xml:space="preserve"> </w:t>
      </w:r>
      <w:r>
        <w:t xml:space="preserve">Social Worker utilized indirect intervention strategies initially, framing mental health support as "stress management" to ensure Ahmed remained engaged in the program.</w:t>
      </w:r>
    </w:p>
    <w:bookmarkEnd w:id="27"/>
    <w:bookmarkStart w:id="28" w:name="outcomes-and-follow-up"/>
    <w:p>
      <w:pPr>
        <w:pStyle w:val="Heading2"/>
      </w:pPr>
      <w:r>
        <w:t xml:space="preserve">5. Outcomes and Follow-Up</w:t>
      </w:r>
    </w:p>
    <w:p>
      <w:pPr>
        <w:pStyle w:val="FirstParagraph"/>
      </w:pPr>
      <w:r>
        <w:t xml:space="preserve">Six months after the initial referral, Ahmed’s case showed significant improvement. The</w:t>
      </w:r>
      <w:r>
        <w:t xml:space="preserve"> </w:t>
      </w:r>
      <w:r>
        <w:t xml:space="preserve">Social Worker facilitated the following outcomes:</w:t>
      </w:r>
    </w:p>
    <w:p>
      <w:pPr>
        <w:numPr>
          <w:ilvl w:val="0"/>
          <w:numId w:val="1003"/>
        </w:numPr>
        <w:pStyle w:val="Compact"/>
      </w:pPr>
      <w:r>
        <w:rPr>
          <w:bCs/>
          <w:b/>
        </w:rPr>
        <w:t xml:space="preserve">Economic Stabilization:</w:t>
      </w:r>
      <w:r>
        <w:br/>
      </w:r>
      <w:r>
        <w:t xml:space="preserve">Approval of emergency aid covered immediate debts, and guidance on budgeting was provided.</w:t>
      </w:r>
    </w:p>
    <w:p>
      <w:pPr>
        <w:numPr>
          <w:ilvl w:val="0"/>
          <w:numId w:val="1003"/>
        </w:numPr>
        <w:pStyle w:val="Compact"/>
      </w:pPr>
      <w:r>
        <w:rPr>
          <w:bCs/>
          <w:b/>
        </w:rPr>
        <w:t xml:space="preserve">Care Support:</w:t>
      </w:r>
      <w:r>
        <w:br/>
      </w:r>
      <w:r>
        <w:t xml:space="preserve">State-funded home-care nurses were scheduled twice weekly, alleviating Ahmed’s physical burden and allowing him time for professional focus.</w:t>
      </w:r>
    </w:p>
    <w:p>
      <w:pPr>
        <w:numPr>
          <w:ilvl w:val="0"/>
          <w:numId w:val="1003"/>
        </w:numPr>
        <w:pStyle w:val="Compact"/>
      </w:pPr>
      <w:r>
        <w:rPr>
          <w:bCs/>
          <w:b/>
        </w:rPr>
        <w:t xml:space="preserve">Emotional Resilience:</w:t>
      </w:r>
      <w:r>
        <w:br/>
      </w:r>
      <w:r>
        <w:t xml:space="preserve">Ahmed reported a 60% reduction in anxiety symptoms. He re-engaged with his social circle and began participating in community volunteering, restoring his sense of purpose.</w:t>
      </w:r>
    </w:p>
    <w:p>
      <w:pPr>
        <w:pStyle w:val="FirstParagraph"/>
      </w:pPr>
      <w:r>
        <w:t xml:space="preserve">The follow-up assessment conducted by the</w:t>
      </w:r>
      <w:r>
        <w:t xml:space="preserve"> </w:t>
      </w:r>
      <w:r>
        <w:t xml:space="preserve">Social Worker confirmed that the family was stable. The case file was closed, but Ahmed remained on a watch list for three months to ensure no relapse occurred.</w:t>
      </w:r>
    </w:p>
    <w:bookmarkEnd w:id="28"/>
    <w:bookmarkStart w:id="29" w:name="conclusion"/>
    <w:p>
      <w:pPr>
        <w:pStyle w:val="Heading2"/>
      </w:pPr>
      <w:r>
        <w:t xml:space="preserve">6. Conclusion</w:t>
      </w:r>
    </w:p>
    <w:p>
      <w:pPr>
        <w:pStyle w:val="FirstParagraph"/>
      </w:pPr>
      <w:r>
        <w:t xml:space="preserve">This case study demonstrates that the role of the</w:t>
      </w:r>
      <w:r>
        <w:t xml:space="preserve"> </w:t>
      </w:r>
      <w:r>
        <w:t xml:space="preserve">Social Worker in Kuwait City is dynamic and culturally embedded. It is not sufficient to apply Western social work models without adaptation. The successful intervention in Ahmed’s life relied on a nuanced understanding of Kuwaiti tribal obligations, state welfare mechanisms, and the specific urban challenges of living in</w:t>
      </w:r>
      <w:r>
        <w:t xml:space="preserve"> </w:t>
      </w:r>
      <w:r>
        <w:t xml:space="preserve">Kuwait City.</w:t>
      </w:r>
    </w:p>
    <w:p>
      <w:pPr>
        <w:pStyle w:val="BodyText"/>
      </w:pPr>
      <w:r>
        <w:t xml:space="preserve">As Kuwait continues its journey toward Vision 2035 (Kuwait New), which emphasizes human capital development and social cohesion, the professionalization of social work will become even more critical. The</w:t>
      </w:r>
      <w:r>
        <w:t xml:space="preserve"> </w:t>
      </w:r>
      <w:r>
        <w:t xml:space="preserve">Social Worker serves as a vital agent of change, ensuring that the rapid modernization of Kuwait City does not leave vulnerable individuals behind. Future training for social workers in this region must continue to emphasize cultural humility, legal literacy regarding MSAL regulations, and integrated mental health strategies.</w:t>
      </w:r>
    </w:p>
    <w:p>
      <w:pPr>
        <w:pStyle w:val="BodyText"/>
      </w:pPr>
      <w:r>
        <w:t xml:space="preserve">In conclusion, the effective practice of social work in</w:t>
      </w:r>
      <w:r>
        <w:t xml:space="preserve"> </w:t>
      </w:r>
      <w:r>
        <w:t xml:space="preserve">Kuwait City requires a holistic approach that honors tradition while leveraging modern resources. The case of Ahmed illustrates that when these elements are aligned under the guidance of a competent</w:t>
      </w:r>
      <w:r>
        <w:t xml:space="preserve"> </w:t>
      </w:r>
      <w:r>
        <w:t xml:space="preserve">Social Worker, sustainable positive outcomes for individuals and families are achievable.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Social Work Intervention in Kuwait City</dc:title>
  <dc:creator/>
  <dc:language>en</dc:language>
  <cp:keywords/>
  <dcterms:created xsi:type="dcterms:W3CDTF">2026-07-29T06:43:50Z</dcterms:created>
  <dcterms:modified xsi:type="dcterms:W3CDTF">2026-07-29T06:43:50Z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