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comprehensive-case-study-report"/>
    <w:p>
      <w:pPr>
        <w:pStyle w:val="Heading1"/>
      </w:pPr>
      <w:r>
        <w:t xml:space="preserve">Comprehensive Case Study Report</w:t>
      </w:r>
    </w:p>
    <w:bookmarkStart w:id="20" w:name="title"/>
    <w:p>
      <w:pPr>
        <w:pStyle w:val="Heading2"/>
      </w:pPr>
      <w:r>
        <w:t xml:space="preserve">Title:</w:t>
      </w:r>
    </w:p>
    <w:p>
      <w:pPr>
        <w:pStyle w:val="FirstParagraph"/>
      </w:pPr>
      <w:r>
        <w:rPr>
          <w:bCs/>
          <w:b/>
        </w:rPr>
        <w:t xml:space="preserve">Integrating Clinical Social Work and Community Advocacy in Urban Malaysia Kuala Lumpur</w:t>
      </w:r>
    </w:p>
    <w:bookmarkEnd w:id="20"/>
    <w:bookmarkStart w:id="21" w:name="location-context"/>
    <w:p>
      <w:pPr>
        <w:pStyle w:val="Heading3"/>
      </w:pPr>
      <w:r>
        <w:t xml:space="preserve">Location Context:</w:t>
      </w:r>
    </w:p>
    <w:p>
      <w:pPr>
        <w:pStyle w:val="FirstParagraph"/>
      </w:pPr>
      <w:r>
        <w:rPr>
          <w:bCs/>
          <w:b/>
        </w:rPr>
        <w:t xml:space="preserve">Malaysia Kuala Lumpur</w:t>
      </w:r>
    </w:p>
    <w:bookmarkEnd w:id="21"/>
    <w:bookmarkStart w:id="22" w:name="professional-role"/>
    <w:p>
      <w:pPr>
        <w:pStyle w:val="Heading3"/>
      </w:pPr>
      <w:r>
        <w:t xml:space="preserve">Professional Role:</w:t>
      </w:r>
    </w:p>
    <w:p>
      <w:pPr>
        <w:pStyle w:val="FirstParagraph"/>
      </w:pPr>
      <w:r>
        <w:rPr>
          <w:bCs/>
          <w:b/>
        </w:rPr>
        <w:t xml:space="preserve">Certified Social Worker</w:t>
      </w:r>
    </w:p>
    <w:bookmarkEnd w:id="22"/>
    <w:bookmarkStart w:id="23" w:name="date-of-submission"/>
    <w:p>
      <w:pPr>
        <w:pStyle w:val="Heading3"/>
      </w:pPr>
      <w:r>
        <w:t xml:space="preserve">Date of Submission:</w:t>
      </w:r>
    </w:p>
    <w:p>
      <w:pPr>
        <w:pStyle w:val="FirstParagraph"/>
      </w:pPr>
      <w:r>
        <w:t xml:space="preserve">October 24, 2023</w:t>
      </w:r>
    </w:p>
    <w:bookmarkEnd w:id="23"/>
    <w:p>
      <w:r>
        <w:pict>
          <v:rect style="width:0;height:1.5pt" o:hralign="center" o:hrstd="t" o:hr="t"/>
        </w:pict>
      </w:r>
    </w:p>
    <w:bookmarkStart w:id="24" w:name="executive-summary"/>
    <w:p>
      <w:pPr>
        <w:pStyle w:val="Heading2"/>
      </w:pPr>
      <w:r>
        <w:t xml:space="preserve">1. Executive Summary</w:t>
      </w:r>
    </w:p>
    <w:p>
      <w:pPr>
        <w:pStyle w:val="FirstParagraph"/>
      </w:pPr>
      <w:r>
        <w:t xml:space="preserve">This case study provides an in-depth analysis of the multifaceted role of a</w:t>
      </w:r>
      <w:r>
        <w:t xml:space="preserve"> </w:t>
      </w:r>
      <w:r>
        <w:rPr>
          <w:bCs/>
          <w:b/>
        </w:rPr>
        <w:t xml:space="preserve">Social Worker</w:t>
      </w:r>
      <w:r>
        <w:t xml:space="preserve"> </w:t>
      </w:r>
      <w:r>
        <w:t xml:space="preserve">operating within the complex urban landscape of</w:t>
      </w:r>
      <w:r>
        <w:t xml:space="preserve"> </w:t>
      </w:r>
      <w:r>
        <w:rPr>
          <w:bCs/>
          <w:b/>
        </w:rPr>
        <w:t xml:space="preserve">Malaysia Kuala Lumpur</w:t>
      </w:r>
      <w:r>
        <w:t xml:space="preserve">. As one of Southeast Asia’s most rapidly developing metropolises, Kuala Lumpur presents unique socio-economic challenges ranging from income inequality and housing insecurity to mental health stigma. This document outlines the methodology, interventions, and outcomes associated with a specific case involving a vulnerable family unit. The study highlights how professional social work principles are adapted to fit the cultural, legal, and economic realities of</w:t>
      </w:r>
      <w:r>
        <w:t xml:space="preserve"> </w:t>
      </w:r>
      <w:r>
        <w:rPr>
          <w:bCs/>
          <w:b/>
        </w:rPr>
        <w:t xml:space="preserve">Malaysia Kuala Lumpur</w:t>
      </w:r>
      <w:r>
        <w:t xml:space="preserve">, emphasizing the critical need for culturally competent practice.</w:t>
      </w:r>
    </w:p>
    <w:bookmarkEnd w:id="24"/>
    <w:bookmarkStart w:id="25" w:name="introduction-and-background"/>
    <w:p>
      <w:pPr>
        <w:pStyle w:val="Heading2"/>
      </w:pPr>
      <w:r>
        <w:t xml:space="preserve">2. Introduction and Background</w:t>
      </w:r>
    </w:p>
    <w:p>
      <w:pPr>
        <w:pStyle w:val="FirstParagraph"/>
      </w:pPr>
      <w:r>
        <w:t xml:space="preserve">The landscape of social services in</w:t>
      </w:r>
      <w:r>
        <w:t xml:space="preserve"> </w:t>
      </w:r>
      <w:r>
        <w:rPr>
          <w:bCs/>
          <w:b/>
        </w:rPr>
        <w:t xml:space="preserve">Malaysia Kuala Lumpur</w:t>
      </w:r>
      <w:r>
        <w:t xml:space="preserve"> </w:t>
      </w:r>
      <w:r>
        <w:t xml:space="preserve">is characterized by a blend of government-led initiatives, non-governmental organizations (NGOs), and emerging private sector roles. While the Malaysian government has robust frameworks for welfare, the sheer density and diversity of the population in</w:t>
      </w:r>
      <w:r>
        <w:t xml:space="preserve"> </w:t>
      </w:r>
      <w:r>
        <w:rPr>
          <w:bCs/>
          <w:b/>
        </w:rPr>
        <w:t xml:space="preserve">Malaysia Kuala Lumpur</w:t>
      </w:r>
      <w:r>
        <w:t xml:space="preserve"> </w:t>
      </w:r>
      <w:r>
        <w:t xml:space="preserve">often outstrip these resources. Consequently, the role of an independent or NGO-affiliated</w:t>
      </w:r>
      <w:r>
        <w:t xml:space="preserve"> </w:t>
      </w:r>
      <w:r>
        <w:rPr>
          <w:bCs/>
          <w:b/>
        </w:rPr>
        <w:t xml:space="preserve">Social Worker</w:t>
      </w:r>
      <w:r>
        <w:t xml:space="preserve"> </w:t>
      </w:r>
      <w:r>
        <w:t xml:space="preserve">becomes pivotal in bridging gaps where systemic support may be slow or inaccessible.</w:t>
      </w:r>
    </w:p>
    <w:p>
      <w:pPr>
        <w:pStyle w:val="BodyText"/>
      </w:pPr>
      <w:r>
        <w:t xml:space="preserve">In this context, a</w:t>
      </w:r>
      <w:r>
        <w:t xml:space="preserve"> </w:t>
      </w:r>
      <w:r>
        <w:rPr>
          <w:bCs/>
          <w:b/>
        </w:rPr>
        <w:t xml:space="preserve">Social Worker</w:t>
      </w:r>
      <w:r>
        <w:t xml:space="preserve"> </w:t>
      </w:r>
      <w:r>
        <w:t xml:space="preserve">must navigate not only clinical psychological needs but also administrative hurdles related to housing permits, educational enrollment for migrant children, and access to healthcare. The urban environment of</w:t>
      </w:r>
      <w:r>
        <w:t xml:space="preserve"> </w:t>
      </w:r>
      <w:r>
        <w:rPr>
          <w:bCs/>
          <w:b/>
        </w:rPr>
        <w:t xml:space="preserve">Malaysia Kuala Lumpur</w:t>
      </w:r>
      <w:r>
        <w:t xml:space="preserve">, with its mix of modern high-rises and legacy low-cost flats (PPR projects), creates a distinct spatial inequality that the</w:t>
      </w:r>
      <w:r>
        <w:t xml:space="preserve"> </w:t>
      </w:r>
      <w:r>
        <w:rPr>
          <w:bCs/>
          <w:b/>
        </w:rPr>
        <w:t xml:space="preserve">Social Worker</w:t>
      </w:r>
      <w:r>
        <w:t xml:space="preserve"> </w:t>
      </w:r>
      <w:r>
        <w:t xml:space="preserve">must address through both micro-level counseling and macro-level advocacy.</w:t>
      </w:r>
    </w:p>
    <w:bookmarkEnd w:id="25"/>
    <w:bookmarkStart w:id="26" w:name="case-presentation"/>
    <w:p>
      <w:pPr>
        <w:pStyle w:val="Heading2"/>
      </w:pPr>
      <w:r>
        <w:t xml:space="preserve">3. Case Presentation</w:t>
      </w:r>
    </w:p>
    <w:p>
      <w:pPr>
        <w:pStyle w:val="FirstParagraph"/>
      </w:pPr>
      <w:r>
        <w:rPr>
          <w:bCs/>
          <w:b/>
        </w:rPr>
        <w:t xml:space="preserve">The Client:</w:t>
      </w:r>
      <w:r>
        <w:t xml:space="preserve"> </w:t>
      </w:r>
      <w:r>
        <w:t xml:space="preserve">"Mei Ling" (Pseudonym), a 45-year-old single mother of two children, aged 10 and 7. She is a permanent resident originally from a rural state in Peninsular Malaysia but migrated to</w:t>
      </w:r>
      <w:r>
        <w:t xml:space="preserve"> </w:t>
      </w:r>
      <w:r>
        <w:rPr>
          <w:bCs/>
          <w:b/>
        </w:rPr>
        <w:t xml:space="preserve">Malaysia Kuala Lumpur</w:t>
      </w:r>
      <w:r>
        <w:t xml:space="preserve"> </w:t>
      </w:r>
      <w:r>
        <w:t xml:space="preserve">ten years ago seeking better employment opportunities.</w:t>
      </w:r>
    </w:p>
    <w:p>
      <w:pPr>
        <w:pStyle w:val="BodyText"/>
      </w:pPr>
      <w:r>
        <w:rPr>
          <w:bCs/>
          <w:b/>
        </w:rPr>
        <w:t xml:space="preserve">The Situation:</w:t>
      </w:r>
      <w:r>
        <w:t xml:space="preserve"> </w:t>
      </w:r>
      <w:r>
        <w:t xml:space="preserve">Mei Ling works as a cleaner in the commercial district of Bukit Bintang. Recently, she was diagnosed with chronic obstructive pulmonary disease (COPD), rendering her unable to sustain full-time physical labor. Her income dropped by 60%, leading to arrears in rent for her low-cost flat (PPR) unit. The housing authority issued an eviction notice, and the children began showing signs of severe anxiety and school refusal due to financial stress at home.</w:t>
      </w:r>
    </w:p>
    <w:p>
      <w:pPr>
        <w:pStyle w:val="BodyText"/>
      </w:pPr>
      <w:r>
        <w:rPr>
          <w:bCs/>
          <w:b/>
        </w:rPr>
        <w:t xml:space="preserve">The Referral:</w:t>
      </w:r>
      <w:r>
        <w:t xml:space="preserve"> </w:t>
      </w:r>
      <w:r>
        <w:t xml:space="preserve">Mei Ling was referred by a community health clinic staffed by a</w:t>
      </w:r>
      <w:r>
        <w:t xml:space="preserve"> </w:t>
      </w:r>
      <w:r>
        <w:rPr>
          <w:bCs/>
          <w:b/>
        </w:rPr>
        <w:t xml:space="preserve">Social Worker</w:t>
      </w:r>
      <w:r>
        <w:t xml:space="preserve"> </w:t>
      </w:r>
      <w:r>
        <w:t xml:space="preserve">who recognized the intersection of her medical condition, housing instability, and family distress. The primary goal was to prevent eviction, secure alternative income or welfare support, and provide psychological intervention for the children.</w:t>
      </w:r>
    </w:p>
    <w:bookmarkEnd w:id="26"/>
    <w:bookmarkStart w:id="27" w:name="assessment-framework"/>
    <w:p>
      <w:pPr>
        <w:pStyle w:val="Heading2"/>
      </w:pPr>
      <w:r>
        <w:t xml:space="preserve">4. Assessment Framework</w:t>
      </w:r>
    </w:p>
    <w:p>
      <w:pPr>
        <w:pStyle w:val="FirstParagraph"/>
      </w:pPr>
      <w:r>
        <w:t xml:space="preserve">The</w:t>
      </w:r>
      <w:r>
        <w:t xml:space="preserve"> </w:t>
      </w:r>
      <w:r>
        <w:rPr>
          <w:bCs/>
          <w:b/>
        </w:rPr>
        <w:t xml:space="preserve">Social Worker</w:t>
      </w:r>
      <w:r>
        <w:t xml:space="preserve"> </w:t>
      </w:r>
      <w:r>
        <w:t xml:space="preserve">employed a biopsychosocial assessment model, tailored to the context of</w:t>
      </w:r>
      <w:r>
        <w:t xml:space="preserve"> </w:t>
      </w:r>
      <w:r>
        <w:rPr>
          <w:bCs/>
          <w:b/>
        </w:rPr>
        <w:t xml:space="preserve">Malaysia Kuala Lumpur</w:t>
      </w:r>
      <w:r>
        <w:t xml:space="preserve">:</w:t>
      </w:r>
    </w:p>
    <w:p>
      <w:pPr>
        <w:numPr>
          <w:ilvl w:val="0"/>
          <w:numId w:val="1001"/>
        </w:numPr>
        <w:pStyle w:val="Compact"/>
      </w:pPr>
      <w:r>
        <w:rPr>
          <w:bCs/>
          <w:b/>
        </w:rPr>
        <w:t xml:space="preserve">Biological:</w:t>
      </w:r>
      <w:r>
        <w:t xml:space="preserve"> </w:t>
      </w:r>
      <w:r>
        <w:t xml:space="preserve">Assessment of Mei Ling’s COPD severity and her need for subsidized medication through public health clinics in KL.</w:t>
      </w:r>
    </w:p>
    <w:p>
      <w:pPr>
        <w:numPr>
          <w:ilvl w:val="0"/>
          <w:numId w:val="1001"/>
        </w:numPr>
        <w:pStyle w:val="Compact"/>
      </w:pPr>
      <w:r>
        <w:rPr>
          <w:bCs/>
          <w:b/>
        </w:rPr>
        <w:t xml:space="preserve">Pychological:Malaysia Kuala Lumpur</w:t>
      </w:r>
      <w:r>
        <w:t xml:space="preserve"> </w:t>
      </w:r>
      <w:r>
        <w:t xml:space="preserve">was identified as a significant barrier to seeking help.</w:t>
      </w:r>
    </w:p>
    <w:p>
      <w:pPr>
        <w:numPr>
          <w:ilvl w:val="0"/>
          <w:numId w:val="1001"/>
        </w:numPr>
        <w:pStyle w:val="Compact"/>
      </w:pPr>
      <w:r>
        <w:rPr>
          <w:bCs/>
          <w:b/>
        </w:rPr>
        <w:t xml:space="preserve">Social:</w:t>
      </w:r>
      <w:r>
        <w:t xml:space="preserve"> </w:t>
      </w:r>
      <w:r>
        <w:t xml:space="preserve">Analysis of her support network. Mei Ling lacked extended family nearby, a common issue for internal migrants in</w:t>
      </w:r>
    </w:p>
    <w:p>
      <w:pPr>
        <w:numPr>
          <w:ilvl w:val="0"/>
          <w:numId w:val="1000"/>
        </w:numPr>
        <w:pStyle w:val="Compact"/>
      </w:pPr>
      <w:r>
        <w:t xml:space="preserve">Malaysia Kuala Lumpur. The assessment also included an audit of her eligibility for the Malaysian Social Welfare Department (JKM) assistance programs.</w:t>
      </w:r>
    </w:p>
    <w:p>
      <w:pPr>
        <w:numPr>
          <w:ilvl w:val="0"/>
          <w:numId w:val="1001"/>
        </w:numPr>
        <w:pStyle w:val="Compact"/>
      </w:pPr>
      <w:r>
        <w:rPr>
          <w:bCs/>
          <w:b/>
        </w:rPr>
        <w:t xml:space="preserve">Economic:</w:t>
      </w:r>
      <w:r>
        <w:t xml:space="preserve"> </w:t>
      </w:r>
      <w:r>
        <w:t xml:space="preserve">Calculation of her current debts vs. potential benefits, including the Emergency Assistance Fund and rental subsidies available to low-income residents in</w:t>
      </w:r>
      <w:r>
        <w:t xml:space="preserve"> </w:t>
      </w:r>
      <w:r>
        <w:rPr>
          <w:bCs/>
          <w:b/>
        </w:rPr>
        <w:t xml:space="preserve">Malaysia Kuala Lumpur</w:t>
      </w:r>
      <w:r>
        <w:t xml:space="preserve">.</w:t>
      </w:r>
    </w:p>
    <w:bookmarkEnd w:id="27"/>
    <w:bookmarkStart w:id="31" w:name="intervention-strategy"/>
    <w:p>
      <w:pPr>
        <w:pStyle w:val="Heading2"/>
      </w:pPr>
      <w:r>
        <w:t xml:space="preserve">5. Intervention Strategy</w:t>
      </w:r>
    </w:p>
    <w:p>
      <w:pPr>
        <w:pStyle w:val="FirstParagraph"/>
      </w:pPr>
      <w:r>
        <w:t xml:space="preserve">The intervention phase involved a multi-disciplinary approach executed by the</w:t>
      </w:r>
      <w:r>
        <w:t xml:space="preserve"> </w:t>
      </w:r>
      <w:r>
        <w:rPr>
          <w:bCs/>
          <w:b/>
        </w:rPr>
        <w:t xml:space="preserve">Social Worker</w:t>
      </w:r>
      <w:r>
        <w:t xml:space="preserve">:</w:t>
      </w:r>
    </w:p>
    <w:bookmarkStart w:id="28" w:name="X03797538ef2dd6c4e9958cd0c8572ce2159ac89"/>
    <w:p>
      <w:pPr>
        <w:pStyle w:val="Heading3"/>
      </w:pPr>
      <w:r>
        <w:t xml:space="preserve">A. Crisis Management and Housing Stabilization</w:t>
      </w:r>
    </w:p>
    <w:p>
      <w:pPr>
        <w:pStyle w:val="FirstParagraph"/>
      </w:pPr>
      <w:r>
        <w:t xml:space="preserve">The</w:t>
      </w:r>
      <w:r>
        <w:t xml:space="preserve"> </w:t>
      </w:r>
      <w:r>
        <w:rPr>
          <w:bCs/>
          <w:b/>
        </w:rPr>
        <w:t xml:space="preserve">Social Worker</w:t>
      </w:r>
      <w:r>
        <w:t xml:space="preserve"> </w:t>
      </w:r>
      <w:r>
        <w:t xml:space="preserve">immediately intervened with the local housing authority in Kuala Lumpur to halt the eviction process. By presenting medical reports from public hospitals, the</w:t>
      </w:r>
      <w:r>
        <w:t xml:space="preserve"> </w:t>
      </w:r>
      <w:r>
        <w:rPr>
          <w:bCs/>
          <w:b/>
        </w:rPr>
        <w:t xml:space="preserve">Social Worker</w:t>
      </w:r>
      <w:r>
        <w:t xml:space="preserve"> </w:t>
      </w:r>
      <w:r>
        <w:t xml:space="preserve">negotiated a payment plan and applied for an emergency rental grant. This action was crucial as housing security is paramount for family stability in</w:t>
      </w:r>
      <w:r>
        <w:t xml:space="preserve"> </w:t>
      </w:r>
      <w:r>
        <w:rPr>
          <w:bCs/>
          <w:b/>
        </w:rPr>
        <w:t xml:space="preserve">Malaysia Kuala Lumpur</w:t>
      </w:r>
      <w:r>
        <w:t xml:space="preserve">.</w:t>
      </w:r>
    </w:p>
    <w:bookmarkEnd w:id="28"/>
    <w:bookmarkStart w:id="29" w:name="Xcf75655966c468870a4167deca6f21162ece99b"/>
    <w:p>
      <w:pPr>
        <w:pStyle w:val="Heading3"/>
      </w:pPr>
      <w:r>
        <w:t xml:space="preserve">B. Economic Empowerment and Welfare Navigation</w:t>
      </w:r>
    </w:p>
    <w:p>
      <w:pPr>
        <w:pStyle w:val="FirstParagraph"/>
      </w:pPr>
      <w:r>
        <w:t xml:space="preserve">The</w:t>
      </w:r>
      <w:r>
        <w:t xml:space="preserve"> </w:t>
      </w:r>
      <w:r>
        <w:rPr>
          <w:bCs/>
          <w:b/>
        </w:rPr>
        <w:t xml:space="preserve">Social Worker</w:t>
      </w:r>
      <w:r>
        <w:t xml:space="preserve"> </w:t>
      </w:r>
      <w:r>
        <w:t xml:space="preserve">assisted Mei Ling in applying for the Bantuan Sara Hidup (BSH) cash aid and registered her for vocational training programs offered by the Ministry of Human Resources, specifically tailored for individuals with health limitations. Additionally, the</w:t>
      </w:r>
      <w:r>
        <w:t xml:space="preserve"> </w:t>
      </w:r>
      <w:r>
        <w:rPr>
          <w:bCs/>
          <w:b/>
        </w:rPr>
        <w:t xml:space="preserve">Social Worker</w:t>
      </w:r>
      <w:r>
        <w:t xml:space="preserve"> </w:t>
      </w:r>
      <w:r>
        <w:t xml:space="preserve">connected her with local NGOs that provide food assistance packs, reducing monthly expenditure.</w:t>
      </w:r>
    </w:p>
    <w:bookmarkEnd w:id="29"/>
    <w:bookmarkStart w:id="30" w:name="X12a43ab3278aa9cd727cdb0e0ac0fb52596c1cb"/>
    <w:p>
      <w:pPr>
        <w:pStyle w:val="Heading3"/>
      </w:pPr>
      <w:r>
        <w:t xml:space="preserve">C. Psychosocial Support and Family Counseling</w:t>
      </w:r>
    </w:p>
    <w:p>
      <w:pPr>
        <w:pStyle w:val="FirstParagraph"/>
      </w:pPr>
      <w:r>
        <w:t xml:space="preserve">To address the stigma surrounding mental health in</w:t>
      </w:r>
      <w:r>
        <w:t xml:space="preserve"> </w:t>
      </w:r>
      <w:r>
        <w:rPr>
          <w:bCs/>
          <w:b/>
        </w:rPr>
        <w:t xml:space="preserve">Malaysia Kuala Lumpur</w:t>
      </w:r>
      <w:r>
        <w:t xml:space="preserve">, the</w:t>
      </w:r>
      <w:r>
        <w:t xml:space="preserve"> </w:t>
      </w:r>
      <w:r>
        <w:rPr>
          <w:bCs/>
          <w:b/>
        </w:rPr>
        <w:t xml:space="preserve">Social Worker</w:t>
      </w:r>
      <w:r>
        <w:t xml:space="preserve"> </w:t>
      </w:r>
      <w:r>
        <w:t xml:space="preserve">utilized a culturally sensitive approach, framing counseling as "family strengthening" rather than "therapy." Group sessions were organized with other mothers from similar backgrounds in low-cost flats, fostering a support network. The children were referred to school counselors for academic and emotional support.</w:t>
      </w:r>
    </w:p>
    <w:bookmarkEnd w:id="30"/>
    <w:bookmarkEnd w:id="31"/>
    <w:bookmarkStart w:id="32" w:name="challenges-encountered"/>
    <w:p>
      <w:pPr>
        <w:pStyle w:val="Heading2"/>
      </w:pPr>
      <w:r>
        <w:t xml:space="preserve">6. Challenges Encountered</w:t>
      </w:r>
    </w:p>
    <w:p>
      <w:pPr>
        <w:pStyle w:val="FirstParagraph"/>
      </w:pPr>
      <w:r>
        <w:t xml:space="preserve">The case highlighted several challenges specific to practicing as a</w:t>
      </w:r>
      <w:r>
        <w:t xml:space="preserve"> </w:t>
      </w:r>
      <w:r>
        <w:rPr>
          <w:bCs/>
          <w:b/>
        </w:rPr>
        <w:t xml:space="preserve">Social Worker</w:t>
      </w:r>
      <w:r>
        <w:t xml:space="preserve"> </w:t>
      </w:r>
      <w:r>
        <w:t xml:space="preserve">in</w:t>
      </w:r>
      <w:r>
        <w:t xml:space="preserve"> </w:t>
      </w:r>
      <w:r>
        <w:rPr>
          <w:bCs/>
          <w:b/>
        </w:rPr>
        <w:t xml:space="preserve">Malaysia Kuala Lumpur</w:t>
      </w:r>
      <w:r>
        <w:t xml:space="preserve">:</w:t>
      </w:r>
    </w:p>
    <w:p>
      <w:pPr>
        <w:numPr>
          <w:ilvl w:val="0"/>
          <w:numId w:val="1002"/>
        </w:numPr>
        <w:pStyle w:val="Compact"/>
      </w:pPr>
      <w:r>
        <w:rPr>
          <w:bCs/>
          <w:b/>
        </w:rPr>
        <w:t xml:space="preserve">Bureaucratic Complexity:</w:t>
      </w:r>
      <w:r>
        <w:t xml:space="preserve"> </w:t>
      </w:r>
      <w:r>
        <w:t xml:space="preserve">Navigating the various government agencies (JKM, Health Ministry, Local Council) required extensive time and persistence. Information silos between departments often delayed assistance.</w:t>
      </w:r>
    </w:p>
    <w:p>
      <w:pPr>
        <w:numPr>
          <w:ilvl w:val="0"/>
          <w:numId w:val="1002"/>
        </w:numPr>
        <w:pStyle w:val="Compact"/>
      </w:pPr>
      <w:r>
        <w:rPr>
          <w:bCs/>
          <w:b/>
        </w:rPr>
        <w:t xml:space="preserve">Cultural Barriers:</w:t>
      </w:r>
      <w:r>
        <w:t xml:space="preserve"> </w:t>
      </w:r>
      <w:r>
        <w:t xml:space="preserve">Initial resistance from Mei Ling to disclose family struggles due to "face" culture was a significant hurdle. The</w:t>
      </w:r>
      <w:r>
        <w:t xml:space="preserve"> </w:t>
      </w:r>
      <w:r>
        <w:rPr>
          <w:bCs/>
          <w:b/>
        </w:rPr>
        <w:t xml:space="preserve">Social Worker</w:t>
      </w:r>
      <w:r>
        <w:t xml:space="preserve"> </w:t>
      </w:r>
      <w:r>
        <w:t xml:space="preserve">had to build trust gradually through consistent, non-judgmental presence.</w:t>
      </w:r>
    </w:p>
    <w:p>
      <w:pPr>
        <w:numPr>
          <w:ilvl w:val="0"/>
          <w:numId w:val="1002"/>
        </w:numPr>
        <w:pStyle w:val="Compact"/>
      </w:pPr>
      <w:r>
        <w:rPr>
          <w:bCs/>
          <w:b/>
        </w:rPr>
        <w:t xml:space="preserve">Resource Scarcity:</w:t>
      </w:r>
      <w:r>
        <w:t xml:space="preserve"> </w:t>
      </w:r>
      <w:r>
        <w:t xml:space="preserve">Despite the wealth of</w:t>
      </w:r>
      <w:r>
        <w:t xml:space="preserve"> </w:t>
      </w:r>
      <w:r>
        <w:rPr>
          <w:bCs/>
          <w:b/>
        </w:rPr>
        <w:t xml:space="preserve">Malaysia Kuala Lumpur</w:t>
      </w:r>
      <w:r>
        <w:t xml:space="preserve">, resources for the bottom 40% income group (B40) are often overstretched. The</w:t>
      </w:r>
      <w:r>
        <w:t xml:space="preserve"> </w:t>
      </w:r>
      <w:r>
        <w:rPr>
          <w:bCs/>
          <w:b/>
        </w:rPr>
        <w:t xml:space="preserve">Social Worker</w:t>
      </w:r>
      <w:r>
        <w:t xml:space="preserve"> </w:t>
      </w:r>
      <w:r>
        <w:t xml:space="preserve">had to prioritize cases effectively, often turning to NGO partnerships when government slots were full.</w:t>
      </w:r>
    </w:p>
    <w:bookmarkEnd w:id="32"/>
    <w:bookmarkStart w:id="33" w:name="outcomes-and-evaluation"/>
    <w:p>
      <w:pPr>
        <w:pStyle w:val="Heading2"/>
      </w:pPr>
      <w:r>
        <w:t xml:space="preserve">7. Outcomes and Evaluation</w:t>
      </w:r>
    </w:p>
    <w:p>
      <w:pPr>
        <w:pStyle w:val="FirstParagraph"/>
      </w:pPr>
      <w:r>
        <w:t xml:space="preserve">Six months post-intervention, the outcomes were positive:</w:t>
      </w:r>
    </w:p>
    <w:p>
      <w:pPr>
        <w:numPr>
          <w:ilvl w:val="0"/>
          <w:numId w:val="1003"/>
        </w:numPr>
        <w:pStyle w:val="Compact"/>
      </w:pPr>
      <w:r>
        <w:rPr>
          <w:bCs/>
          <w:b/>
        </w:rPr>
        <w:t xml:space="preserve">Housing Security:</w:t>
      </w:r>
      <w:r>
        <w:t xml:space="preserve"> </w:t>
      </w:r>
      <w:r>
        <w:t xml:space="preserve">The eviction was stayed, and Mei Ling secured a stable payment plan. She remains in her home within</w:t>
      </w:r>
      <w:r>
        <w:t xml:space="preserve"> </w:t>
      </w:r>
      <w:r>
        <w:rPr>
          <w:bCs/>
          <w:b/>
        </w:rPr>
        <w:t xml:space="preserve">Malaysia Kuala Lumpur</w:t>
      </w:r>
      <w:r>
        <w:t xml:space="preserve">.</w:t>
      </w:r>
    </w:p>
    <w:p>
      <w:pPr>
        <w:numPr>
          <w:ilvl w:val="0"/>
          <w:numId w:val="1003"/>
        </w:numPr>
        <w:pStyle w:val="Compact"/>
      </w:pPr>
      <w:r>
        <w:t xml:space="preserve">Economic Stability:: Mei Ling transitioned to a part-time data entry role, compatible with her health condition. Combined with government aid, her household income stabilized.</w:t>
      </w:r>
    </w:p>
    <w:p>
      <w:pPr>
        <w:numPr>
          <w:ilvl w:val="0"/>
          <w:numId w:val="1003"/>
        </w:numPr>
        <w:pStyle w:val="Compact"/>
      </w:pPr>
      <w:r>
        <w:t xml:space="preserve">Social Well-being:: The children returned to regular school attendance. Mei Ling reported improved mental health and expressed satisfaction with the support received from the</w:t>
      </w:r>
      <w:r>
        <w:t xml:space="preserve"> </w:t>
      </w:r>
      <w:r>
        <w:rPr>
          <w:bCs/>
          <w:b/>
        </w:rPr>
        <w:t xml:space="preserve">Social Worker</w:t>
      </w:r>
      <w:r>
        <w:t xml:space="preserve">.</w:t>
      </w:r>
    </w:p>
    <w:bookmarkEnd w:id="33"/>
    <w:bookmarkStart w:id="34" w:name="conclusion"/>
    <w:p>
      <w:pPr>
        <w:pStyle w:val="Heading2"/>
      </w:pPr>
      <w:r>
        <w:t xml:space="preserve">8. Conclusion</w:t>
      </w:r>
    </w:p>
    <w:p>
      <w:pPr>
        <w:pStyle w:val="FirstParagraph"/>
      </w:pPr>
      <w:r>
        <w:t xml:space="preserve">This case study demonstrates that effective social work in</w:t>
      </w:r>
      <w:r>
        <w:t xml:space="preserve"> </w:t>
      </w:r>
      <w:r>
        <w:rPr>
          <w:bCs/>
          <w:b/>
        </w:rPr>
        <w:t xml:space="preserve">Malaysia Kuala Lumpur</w:t>
      </w:r>
      <w:r>
        <w:t xml:space="preserve"> </w:t>
      </w:r>
      <w:r>
        <w:t xml:space="preserve">requires more than just clinical skills; it demands strong advocacy, navigational expertise within local bureaucratic systems, and deep cultural competence. The</w:t>
      </w:r>
      <w:r>
        <w:t xml:space="preserve"> </w:t>
      </w:r>
      <w:r>
        <w:rPr>
          <w:bCs/>
          <w:b/>
        </w:rPr>
        <w:t xml:space="preserve">Social Worker</w:t>
      </w:r>
      <w:r>
        <w:t xml:space="preserve"> </w:t>
      </w:r>
      <w:r>
        <w:t xml:space="preserve">played a pivotal role not only as a counselor but as a bridge between the vulnerable client and the structural resources of</w:t>
      </w:r>
      <w:r>
        <w:t xml:space="preserve"> </w:t>
      </w:r>
      <w:r>
        <w:rPr>
          <w:bCs/>
          <w:b/>
        </w:rPr>
        <w:t xml:space="preserve">Malaysia Kuala Lumpur</w:t>
      </w:r>
      <w:r>
        <w:t xml:space="preserve">.</w:t>
      </w:r>
    </w:p>
    <w:p>
      <w:pPr>
        <w:pStyle w:val="BodyText"/>
      </w:pPr>
      <w:r>
        <w:t xml:space="preserve">As urbanization continues to intensify in Malaysia, the demand for professional</w:t>
      </w:r>
      <w:r>
        <w:t xml:space="preserve"> </w:t>
      </w:r>
      <w:r>
        <w:rPr>
          <w:bCs/>
          <w:b/>
        </w:rPr>
        <w:t xml:space="preserve">Social Worker</w:t>
      </w:r>
      <w:r>
        <w:t xml:space="preserve"> </w:t>
      </w:r>
      <w:r>
        <w:t xml:space="preserve">services will grow. There is a pressing need for increased funding, professional recognition, and streamlined inter-agency cooperation in</w:t>
      </w:r>
      <w:r>
        <w:t xml:space="preserve"> </w:t>
      </w:r>
      <w:r>
        <w:rPr>
          <w:bCs/>
          <w:b/>
        </w:rPr>
        <w:t xml:space="preserve">Malaysia Kuala Lumpur</w:t>
      </w:r>
      <w:r>
        <w:t xml:space="preserve"> </w:t>
      </w:r>
      <w:r>
        <w:t xml:space="preserve">to ensure that social work practice can meet the escalating needs of diverse urban populations. This case serves as a testament to the transformative potential of holistic, context-aware social work intervention.</w:t>
      </w:r>
    </w:p>
    <w:p>
      <w:r>
        <w:pict>
          <v:rect style="width:0;height:1.5pt" o:hralign="center" o:hrstd="t" o:hr="t"/>
        </w:pict>
      </w:r>
    </w:p>
    <w:p>
      <w:pPr>
        <w:pStyle w:val="FirstParagraph"/>
      </w:pPr>
      <w:r>
        <w:rPr>
          <w:bCs/>
          <w:b/>
        </w:rPr>
        <w:t xml:space="preserve">References:</w:t>
      </w:r>
    </w:p>
    <w:p>
      <w:pPr>
        <w:numPr>
          <w:ilvl w:val="0"/>
          <w:numId w:val="1004"/>
        </w:numPr>
        <w:pStyle w:val="Compact"/>
      </w:pPr>
      <w:r>
        <w:t xml:space="preserve">- Malaysian Social Welfare Department (Jabatan Kebajikan Masyarakat) Guidelines.</w:t>
      </w:r>
    </w:p>
    <w:p>
      <w:pPr>
        <w:numPr>
          <w:ilvl w:val="0"/>
          <w:numId w:val="1004"/>
        </w:numPr>
        <w:pStyle w:val="Compact"/>
      </w:pPr>
      <w:r>
        <w:t xml:space="preserve">- Kuala Lumpur City Hall (DBKL) Housing Policies for Low-Income Families.</w:t>
      </w:r>
    </w:p>
    <w:p>
      <w:pPr>
        <w:numPr>
          <w:ilvl w:val="0"/>
          <w:numId w:val="1004"/>
        </w:numPr>
        <w:pStyle w:val="Compact"/>
      </w:pPr>
      <w:r>
        <w:t xml:space="preserve">- International Federation of Social Workers (IFSW) Ethics in Practice.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2026-07-29T03:33:10Z</dcterms:created>
  <dcterms:modified xsi:type="dcterms:W3CDTF">2026-07-29T03:33:10Z</dcterms:modified>
</cp:coreProperties>
</file>

<file path=docProps/custom.xml><?xml version="1.0" encoding="utf-8"?>
<Properties xmlns="http://schemas.openxmlformats.org/officeDocument/2006/custom-properties" xmlns:vt="http://schemas.openxmlformats.org/officeDocument/2006/docPropsVTypes"/>
</file>