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ff8fc0384b1f491634ed1b680635691933f128"/>
    <w:p>
      <w:pPr>
        <w:pStyle w:val="Heading1"/>
      </w:pPr>
      <w:r>
        <w:t xml:space="preserve">Case Study: Enhancing Community Resilience Through Social Work in New Zealand Auckland</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New Zealand Auckland</w:t>
      </w:r>
      <w:r>
        <w:br/>
      </w:r>
      <w:r>
        <w:rPr>
          <w:bCs/>
          <w:b/>
        </w:rPr>
        <w:t xml:space="preserve">Focusing Role:</w:t>
      </w:r>
      <w:r>
        <w:t xml:space="preserve"> </w:t>
      </w:r>
      <w:r>
        <w:t xml:space="preserve">Social Worker</w:t>
      </w:r>
      <w:r>
        <w:br/>
      </w:r>
      <w:r>
        <w:rPr>
          <w:vertAlign w:val="subscript"/>
        </w:rPr>
        <w:t xml:space="preserve">This document serves as a comprehensive Case Study examining the multifaceted role of a Social Worker within the urban and culturally diverse context of New Zealand Auckland. It explores systemic challenges, cultural competencies required for effective practice, and outcomes-based interventions.</w:t>
      </w:r>
    </w:p>
    <w:bookmarkStart w:id="20" w:name="introduction"/>
    <w:p>
      <w:pPr>
        <w:pStyle w:val="Heading2"/>
      </w:pPr>
      <w:r>
        <w:t xml:space="preserve">1. Introduction</w:t>
      </w:r>
    </w:p>
    <w:p>
      <w:pPr>
        <w:pStyle w:val="FirstParagraph"/>
      </w:pPr>
      <w:r>
        <w:t xml:space="preserve">New Zealand Auckland stands as the largest urban centre in New Zealand, characterized by a rapid population growth, significant economic disparity between neighborhoods such as Devonport and Manurewa, and a profound multicultural demographic. In this complex landscape, the role of the Social Worker is not merely that of a service provider but acts as a critical bridge between individuals facing crisis and the broader welfare systems established under New Zealand law. This Case Study focuses on "Aroha," a fictitious but representative composite scenario used to illustrate best practices in social work within Auckland’s unique socio-political environment.</w:t>
      </w:r>
    </w:p>
    <w:p>
      <w:pPr>
        <w:pStyle w:val="BodyText"/>
      </w:pPr>
      <w:r>
        <w:t xml:space="preserve">Auckland presents specific challenges, including high housing costs leading to homelessness, disparities in health outcomes for Māori and Pasifika populations, and the integration needs of new migrants from Asia and the Pacific Islands. A Social Worker operating in this region must possess not only clinical skills but also a deep understanding of Te Tiriti o Waitangi (The Treaty of Waitangi), which mandates partnership, participation, and protection for Māori.</w:t>
      </w:r>
    </w:p>
    <w:bookmarkEnd w:id="20"/>
    <w:bookmarkStart w:id="21" w:name="case-background-the-client-system"/>
    <w:p>
      <w:pPr>
        <w:pStyle w:val="Heading2"/>
      </w:pPr>
      <w:r>
        <w:t xml:space="preserve">2. Case Background: The Client System</w:t>
      </w:r>
    </w:p>
    <w:p>
      <w:pPr>
        <w:pStyle w:val="FirstParagraph"/>
      </w:pPr>
      <w:r>
        <w:rPr>
          <w:bCs/>
          <w:b/>
        </w:rPr>
        <w:t xml:space="preserve">Clients:</w:t>
      </w:r>
      <w:r>
        <w:t xml:space="preserve"> </w:t>
      </w:r>
      <w:r>
        <w:t xml:space="preserve">Whānau Aroha (Extended Family Unit)</w:t>
      </w:r>
    </w:p>
    <w:p>
      <w:pPr>
        <w:pStyle w:val="BodyText"/>
      </w:pPr>
      <w:r>
        <w:t xml:space="preserve">The client unit consists of Tane, a 45-year-old Māori father; Hine, his partner of ten years; and their two children, Rangi (12) and Kiri (8). The family resides in South Auckland, an area statistically identified as having high levels of socio-economic deprivation. Recently, Tane lost his employment due to factory downsizing. Concurrently, Hine experienced a severe depressive episode following the loss of her mother earlier that year.</w:t>
      </w:r>
    </w:p>
    <w:p>
      <w:pPr>
        <w:pStyle w:val="BodyText"/>
      </w:pPr>
      <w:r>
        <w:t xml:space="preserve">The intervention was initiated by a referral from the local school counselor regarding Rangi’s declining academic performance and behavioral issues at school. However, a holistic Social Worker recognizes that Rangi’s behavior is likely symptomatic of household instability, financial stress, and grief affecting the entire Whānau.</w:t>
      </w:r>
    </w:p>
    <w:bookmarkEnd w:id="21"/>
    <w:bookmarkStart w:id="24" w:name="the-role-of-the-social-worker"/>
    <w:p>
      <w:pPr>
        <w:pStyle w:val="Heading2"/>
      </w:pPr>
      <w:r>
        <w:t xml:space="preserve">3. The Role of the Social Worker</w:t>
      </w:r>
    </w:p>
    <w:p>
      <w:pPr>
        <w:pStyle w:val="FirstParagraph"/>
      </w:pPr>
      <w:r>
        <w:t xml:space="preserve">In this Case Study context within New Zealand Auckland, the Social Worker adopts a Te Tiriti-based practice framework. This approach moves beyond standard Western psychological models to incorporate Tikanga Māori (Māorian customs and protocols). The intervention strategy is divided into three phases: Assessment, Intervention, and Evaluation.</w:t>
      </w:r>
    </w:p>
    <w:bookmarkStart w:id="22" w:name="phase-1-holistic-assessment"/>
    <w:p>
      <w:pPr>
        <w:pStyle w:val="Heading3"/>
      </w:pPr>
      <w:r>
        <w:t xml:space="preserve">Phase 1: Holistic Assessment</w:t>
      </w:r>
    </w:p>
    <w:p>
      <w:pPr>
        <w:pStyle w:val="FirstParagraph"/>
      </w:pPr>
      <w:r>
        <w:t xml:space="preserve">The initial engagement required building trust (whanaungatanga). Recognizing that Western clinical settings can be intimidating or culturally unsafe for some Māori families, the Social Worker offered the initial meeting in a community hub in Manurewa rather than a government office. The assessment utilized the Family Group Conference model, emphasizing that solutions should come from within Whānau Aroha.</w:t>
      </w:r>
    </w:p>
    <w:p>
      <w:pPr>
        <w:pStyle w:val="BodyText"/>
      </w:pPr>
      <w:r>
        <w:t xml:space="preserve">The Social Worker identified several systemic barriers:</w:t>
      </w:r>
    </w:p>
    <w:p>
      <w:pPr>
        <w:numPr>
          <w:ilvl w:val="0"/>
          <w:numId w:val="1001"/>
        </w:numPr>
        <w:pStyle w:val="Compact"/>
      </w:pPr>
      <w:r>
        <w:rPr>
          <w:bCs/>
          <w:b/>
        </w:rPr>
        <w:t xml:space="preserve">Housing Instability:</w:t>
      </w:r>
      <w:r>
        <w:t xml:space="preserve"> </w:t>
      </w:r>
      <w:r>
        <w:t xml:space="preserve">Tene rent was increasing by 15%, pushing the family toward homelessness.</w:t>
      </w:r>
    </w:p>
    <w:p>
      <w:pPr>
        <w:numPr>
          <w:ilvl w:val="0"/>
          <w:numId w:val="1001"/>
        </w:numPr>
        <w:pStyle w:val="Compact"/>
      </w:pPr>
      <w:r>
        <w:rPr>
          <w:bCs/>
          <w:b/>
        </w:rPr>
        <w:t xml:space="preserve">Mental Health Access:</w:t>
      </w:r>
      <w:r>
        <w:t xml:space="preserve"> </w:t>
      </w:r>
      <w:r>
        <w:t xml:space="preserve">Public mental health services in Auckland have long waitlists, delaying critical care for Hine.</w:t>
      </w:r>
    </w:p>
    <w:p>
      <w:pPr>
        <w:numPr>
          <w:ilvl w:val="0"/>
          <w:numId w:val="1001"/>
        </w:numPr>
        <w:pStyle w:val="Compact"/>
      </w:pPr>
      <w:r>
        <w:rPr>
          <w:bCs/>
          <w:b/>
        </w:rPr>
        <w:t xml:space="preserve">Economic Precarity:</w:t>
      </w:r>
    </w:p>
    <w:bookmarkEnd w:id="22"/>
    <w:bookmarkStart w:id="23" w:name="phase-2-multi-systemic-intervention"/>
    <w:p>
      <w:pPr>
        <w:pStyle w:val="Heading3"/>
      </w:pPr>
      <w:r>
        <w:t xml:space="preserve">Phase 2: Multi-Systemic Intervention</w:t>
      </w:r>
    </w:p>
    <w:p>
      <w:pPr>
        <w:pStyle w:val="FirstParagraph"/>
      </w:pPr>
      <w:r>
        <w:t xml:space="preserve">The Social Worker acted as a case manager and advocate, coordinating care across multiple agencies. Key actions included:</w:t>
      </w:r>
    </w:p>
    <w:p>
      <w:pPr>
        <w:pStyle w:val="BodyText"/>
      </w:pPr>
      <w:r>
        <w:rPr>
          <w:bCs/>
          <w:b/>
        </w:rPr>
        <w:t xml:space="preserve">A. Navigating the Welfare State:</w:t>
      </w:r>
      <w:r>
        <w:t xml:space="preserve">The Social Worker assisted Tane with applying for Jobseeker Support but also helped him access emergency housing assistance through the Ministry of Business, Innovation and Employment (MBIE). In Auckland’s tight rental market, this advocacy was crucial to prevent eviction.</w:t>
      </w:r>
    </w:p>
    <w:p>
      <w:pPr>
        <w:pStyle w:val="BodyText"/>
      </w:pPr>
      <w:r>
        <w:rPr>
          <w:bCs/>
          <w:b/>
        </w:rPr>
        <w:t xml:space="preserve">B. Cultural Safety and Mental Health:</w:t>
      </w:r>
      <w:r>
        <w:t xml:space="preserve">Instead of immediately referring Hine to a general psychiatric clinic, the Social Worker connected her with Te Whatu Ora’s specialized Māori health provider (Te Puni Ora). This ensured that Hine received culturally appropriate mental health support, integrating traditional healing methods with clinical treatment.</w:t>
      </w:r>
    </w:p>
    <w:p>
      <w:pPr>
        <w:pStyle w:val="BodyText"/>
      </w:pPr>
      <w:r>
        <w:rPr>
          <w:bCs/>
          <w:b/>
        </w:rPr>
        <w:t xml:space="preserve">C. Youth Support:</w:t>
      </w:r>
      <w:r>
        <w:t xml:space="preserve">For Rangi and Kiri, the Social Worker facilitated enrollment in a local "Haven" program provided by NGOs like Plunket and Youthline. These programs offer after-school tutoring and safe spaces, reducing the burden on Hine while ensuring children remain engaged in their education.</w:t>
      </w:r>
    </w:p>
    <w:p>
      <w:pPr>
        <w:pStyle w:val="BodyText"/>
      </w:pPr>
      <w:r>
        <w:rPr>
          <w:bCs/>
          <w:b/>
        </w:rPr>
        <w:t xml:space="preserve">D. Community Mobilization:</w:t>
      </w:r>
      <w:r>
        <w:t xml:space="preserve">A key aspect of Social Work in New Zealand Auckland is recognizing community assets. The Social Worker linked Whānau Aroha with a local Marae (meeting ground), which provided not only cultural connection but also practical support through food hampers and community networking, strengthening the family’s social capital.</w:t>
      </w:r>
    </w:p>
    <w:bookmarkEnd w:id="23"/>
    <w:bookmarkEnd w:id="24"/>
    <w:bookmarkStart w:id="25" w:name="X183105ef2e1474fd0461ecd17d3fee7db86e7be"/>
    <w:p>
      <w:pPr>
        <w:pStyle w:val="Heading2"/>
      </w:pPr>
      <w:r>
        <w:t xml:space="preserve">4. Challenges Specific to New Zealand Auckland</w:t>
      </w:r>
    </w:p>
    <w:p>
      <w:pPr>
        <w:pStyle w:val="FirstParagraph"/>
      </w:pPr>
      <w:r>
        <w:t xml:space="preserve">This Case Study highlights specific regional hurdles. First, the cost of living in Auckland is significantly higher than the national average. A Social Worker cannot rely solely on employment advice; they must address immediate survival needs like food and shelter before long-term career planning can occur.</w:t>
      </w:r>
    </w:p>
    <w:p>
      <w:pPr>
        <w:pStyle w:val="BodyText"/>
      </w:pPr>
      <w:r>
        <w:t xml:space="preserve">Second, resource allocation is a persistent challenge. While central government provides funding, local councils (like Auckland Council) manage regional services unevenly. The Social Worker had to navigate bureaucratic red tape between district health boards and city council community grants.</w:t>
      </w:r>
    </w:p>
    <w:p>
      <w:pPr>
        <w:pStyle w:val="BodyText"/>
      </w:pPr>
      <w:r>
        <w:t xml:space="preserve">Third, the diversity of Auckland requires linguistic and cultural fluency. With large populations speaking Samoan, Tongan, Mandarin, and Hindi alongside Te Reo Māori and English, the Social Worker must ensure interpreters are used correctly or employ bilingual staff to prevent miscommunication in sensitive cases.</w:t>
      </w:r>
    </w:p>
    <w:bookmarkEnd w:id="25"/>
    <w:bookmarkStart w:id="26" w:name="outcomes-and-evaluation"/>
    <w:p>
      <w:pPr>
        <w:pStyle w:val="Heading2"/>
      </w:pPr>
      <w:r>
        <w:t xml:space="preserve">5. Outcomes and Evaluation</w:t>
      </w:r>
    </w:p>
    <w:p>
      <w:pPr>
        <w:pStyle w:val="FirstParagraph"/>
      </w:pPr>
      <w:r>
        <w:t xml:space="preserve">Six months into the intervention, measurable outcomes were observed:</w:t>
      </w:r>
    </w:p>
    <w:p>
      <w:pPr>
        <w:numPr>
          <w:ilvl w:val="0"/>
          <w:numId w:val="1002"/>
        </w:numPr>
        <w:pStyle w:val="Compact"/>
      </w:pPr>
      <w:r>
        <w:rPr>
          <w:bCs/>
          <w:b/>
        </w:rPr>
        <w:t xml:space="preserve">Housing Stability:</w:t>
      </w:r>
      <w:r>
        <w:t xml:space="preserve">The family secured a state housing unit through MBIE advocacy, reducing housing insecurity.</w:t>
      </w:r>
    </w:p>
    <w:p>
      <w:pPr>
        <w:numPr>
          <w:ilvl w:val="0"/>
          <w:numId w:val="1002"/>
        </w:numPr>
        <w:pStyle w:val="Compact"/>
      </w:pPr>
      <w:r>
        <w:rPr>
          <w:bCs/>
          <w:b/>
        </w:rPr>
        <w:t xml:space="preserve">Mental Health:</w:t>
      </w:r>
      <w:r>
        <w:t xml:space="preserve">Hine began attending weekly counseling sessions at Te Puni Ora and reported improved mood regulation.</w:t>
      </w:r>
    </w:p>
    <w:p>
      <w:pPr>
        <w:numPr>
          <w:ilvl w:val="0"/>
          <w:numId w:val="1002"/>
        </w:numPr>
        <w:pStyle w:val="Compact"/>
      </w:pPr>
      <w:r>
        <w:rPr>
          <w:bCs/>
          <w:b/>
        </w:rPr>
        <w:t xml:space="preserve">Educational Engagement:</w:t>
      </w:r>
      <w:r>
        <w:t xml:space="preserve">Rangi’s attendance at school improved from 60% to 95%, attributed to the stability at home and support from the Haven program.</w:t>
      </w:r>
    </w:p>
    <w:p>
      <w:pPr>
        <w:numPr>
          <w:ilvl w:val="0"/>
          <w:numId w:val="1002"/>
        </w:numPr>
        <w:pStyle w:val="Compact"/>
      </w:pPr>
      <w:r>
        <w:rPr>
          <w:bCs/>
          <w:b/>
        </w:rPr>
        <w:t xml:space="preserve">Economic Progress:</w:t>
      </w:r>
      <w:r>
        <w:t xml:space="preserve">Tane secured part-time work through a networking event organized by the local Marae, providing a steady income stream.</w:t>
      </w:r>
    </w:p>
    <w:p>
      <w:pPr>
        <w:pStyle w:val="FirstParagraph"/>
      </w:pPr>
      <w:r>
        <w:t xml:space="preserve">Critically, Whānau Aroha reported feeling empowered. The Social Worker’s role shifted from "doing for" to "facilitating with," ensuring the family retained agency over their decisions. This aligns with the core Social Work values of self-determination and social justice.</w:t>
      </w:r>
    </w:p>
    <w:bookmarkEnd w:id="26"/>
    <w:bookmarkStart w:id="27" w:name="Xf9566d43cabf8faf1d741c967668e0360ba0d50"/>
    <w:p>
      <w:pPr>
        <w:pStyle w:val="Heading2"/>
      </w:pPr>
      <w:r>
        <w:t xml:space="preserve">6. Discussion: Reflections on Practice in Auckland</w:t>
      </w:r>
    </w:p>
    <w:p>
      <w:pPr>
        <w:pStyle w:val="FirstParagraph"/>
      </w:pPr>
      <w:r>
        <w:t xml:space="preserve">This Case Study demonstrates that effective Social Work in New Zealand Auckland requires a hybrid approach. It must blend the technical expertise required to navigate complex state systems (Oranga Tamariki, MSD, Te Whatu Ora) with the relational depth demanded by Indigenous and multicultural communities.</w:t>
      </w:r>
    </w:p>
    <w:p>
      <w:pPr>
        <w:pStyle w:val="BodyText"/>
      </w:pPr>
      <w:r>
        <w:t xml:space="preserve">The concept of "collective efficacy" is vital here. Unlike individualistic models seen in some European contexts, Social Work in Auckland must engage the extended Whānau and community networks. The Social Worker serves as a connector, weaving together disparate services into a coherent safety net.</w:t>
      </w:r>
    </w:p>
    <w:p>
      <w:pPr>
        <w:pStyle w:val="BodyText"/>
      </w:pPr>
      <w:r>
        <w:t xml:space="preserve">Furthermore, the case underscores the importance of anti-oppressive practice. By recognizing how systemic racism and economic policy impact Māori families disproportionately, the Social Worker addressed not just symptoms but root causes. For instance, advocating for state housing rather than simply pushing for rapid re-employment acknowledged structural barriers to economic mobility.</w:t>
      </w:r>
    </w:p>
    <w:bookmarkEnd w:id="27"/>
    <w:bookmarkStart w:id="28" w:name="conclusion"/>
    <w:p>
      <w:pPr>
        <w:pStyle w:val="Heading2"/>
      </w:pPr>
      <w:r>
        <w:t xml:space="preserve">7. Conclusion</w:t>
      </w:r>
    </w:p>
    <w:p>
      <w:pPr>
        <w:pStyle w:val="FirstParagraph"/>
      </w:pPr>
      <w:r>
        <w:t xml:space="preserve">In conclusion, this Case Study illustrates that a Social Worker in New Zealand Auckland operates within a high-pressure, resource-constrained environment characterized by deep cultural significance and stark economic inequalities. Success is not measured merely by case closure but by the strengthening of family resilience and community connections.</w:t>
      </w:r>
    </w:p>
    <w:p>
      <w:pPr>
        <w:pStyle w:val="BodyText"/>
      </w:pPr>
      <w:r>
        <w:t xml:space="preserve">The integration of Te Tiriti o Waitangi principles into daily practice is non-negotiable for ethical social work in this region. As Auckland continues to grow, Social Workers must remain adaptive, culturally competent, and politically aware to effectively serve vulnerable populations. The case of Whānau Aroha serves as a testament to what can be achieved when professional expertise intersects with cultural humility and robust community support systems.</w:t>
      </w:r>
    </w:p>
    <w:p>
      <w:pPr>
        <w:pStyle w:val="BodyText"/>
      </w:pPr>
      <w:r>
        <w:t xml:space="preserve">Future practice in New Zealand Auckland should prioritize preventive interventions—addressing poverty and mental health before crises occur—through stronger collaboration between local councils, iwi (tribal) authorities, and social services. This holistic view ensures that the role of the Social Worker remains relevant, effective, and deeply respected within the fabric of New Zealand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New Zealand Auckland</dc:title>
  <dc:creator/>
  <dc:language>en</dc:language>
  <cp:keywords/>
  <dcterms:created xsi:type="dcterms:W3CDTF">2026-07-29T22:32:26Z</dcterms:created>
  <dcterms:modified xsi:type="dcterms:W3CDTF">2026-07-29T22:32:26Z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