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social-work-case-study-report"/>
    <w:p>
      <w:pPr>
        <w:pStyle w:val="Heading1"/>
      </w:pPr>
      <w:r>
        <w:t xml:space="preserve">Social Work Case Study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New Zealand Wellington</w:t>
      </w:r>
      <w:r>
        <w:br/>
      </w:r>
      <w:r>
        <w:rPr>
          <w:bCs/>
          <w:b/>
        </w:rPr>
        <w:t xml:space="preserve">Caseworker Role:</w:t>
      </w:r>
      <w:r>
        <w:t xml:space="preserve"> </w:t>
      </w:r>
      <w:r>
        <w:t xml:space="preserve">Registered Social Worker, Oranga Tamariki / Community Provider</w:t>
      </w:r>
    </w:p>
    <w:bookmarkStart w:id="20" w:name="introduction-and-context"/>
    <w:p>
      <w:pPr>
        <w:pStyle w:val="Heading2"/>
      </w:pPr>
      <w:r>
        <w:t xml:space="preserve">1. Introduction and Context</w:t>
      </w:r>
    </w:p>
    <w:p>
      <w:pPr>
        <w:pStyle w:val="FirstParagraph"/>
      </w:pPr>
      <w:r>
        <w:t xml:space="preserve">This document presents a detailed analysis of a complex social work case situated within the urban landscape of New Zealand Wellington. The city, known for its progressive social policies and diverse multicultural demographics, presents unique challenges for practitioners in the field of Social Work. Wellington operates under the legislative framework governed primarily by Oranga Tamariki (Ministry for Children) and the Health Act 1956. This case study explores how a</w:t>
      </w:r>
      <w:r>
        <w:t xml:space="preserve"> </w:t>
      </w:r>
      <w:r>
        <w:rPr>
          <w:bCs/>
          <w:b/>
        </w:rPr>
        <w:t xml:space="preserve">Social Worker</w:t>
      </w:r>
      <w:r>
        <w:t xml:space="preserve"> </w:t>
      </w:r>
      <w:r>
        <w:t xml:space="preserve">navigates these statutory obligations while addressing immediate family needs.</w:t>
      </w:r>
    </w:p>
    <w:p>
      <w:pPr>
        <w:pStyle w:val="BodyText"/>
      </w:pPr>
      <w:r>
        <w:t xml:space="preserve">The specific context of New Zealand Wellington involves high housing density, significant Māori and Pacific Island populations, and a strong emphasis on restorative justice models. Understanding the local geography of Wellington—from the lower city to the affluent suburbs like Kelburn or Hataitai—is crucial for understanding resource accessibility for clients.</w:t>
      </w:r>
    </w:p>
    <w:bookmarkEnd w:id="20"/>
    <w:bookmarkStart w:id="22" w:name="client-profile-the-a.-family"/>
    <w:p>
      <w:pPr>
        <w:pStyle w:val="Heading2"/>
      </w:pPr>
      <w:r>
        <w:t xml:space="preserve">2. Client Profile: The 'A.' Family</w:t>
      </w:r>
    </w:p>
    <w:p>
      <w:pPr>
        <w:pStyle w:val="FirstParagraph"/>
      </w:pPr>
      <w:r>
        <w:t xml:space="preserve">The client is a fictionalized composite case based on real trends observed in Wellington social services. The 'A.' family consists of the mother, Aroha (34 years old), and two children: Tane (8) and Rangi (5). The family resides in a state housing unit in the suburb of Brooklyn, an area within Wellington that has historically faced socioeconomic disadvantages but is undergoing gentrification.</w:t>
      </w:r>
    </w:p>
    <w:bookmarkStart w:id="21" w:name="presenting-problem"/>
    <w:p>
      <w:pPr>
        <w:pStyle w:val="Heading3"/>
      </w:pPr>
      <w:r>
        <w:t xml:space="preserve">Presenting Problem</w:t>
      </w:r>
    </w:p>
    <w:p>
      <w:pPr>
        <w:pStyle w:val="FirstParagraph"/>
      </w:pPr>
      <w:r>
        <w:t xml:space="preserve">The referral was made by a primary care physician concerned about Tane’s consistent school absenteeism and visible signs of neglect. Reports indicated poor hygiene, lack of appropriate clothing for the Wellington winter weather, and unexplained bruises. Upon initial assessment by the</w:t>
      </w:r>
      <w:r>
        <w:t xml:space="preserve"> </w:t>
      </w:r>
      <w:r>
        <w:rPr>
          <w:bCs/>
          <w:b/>
        </w:rPr>
        <w:t xml:space="preserve">Social Worker</w:t>
      </w:r>
      <w:r>
        <w:t xml:space="preserve">, it was determined that Aroha had recently lost her employment due to a workplace injury exacerbated by stress, leading to financial instability.</w:t>
      </w:r>
    </w:p>
    <w:bookmarkEnd w:id="21"/>
    <w:bookmarkEnd w:id="22"/>
    <w:bookmarkStart w:id="25" w:name="assessment-and-intervention-strategy"/>
    <w:p>
      <w:pPr>
        <w:pStyle w:val="Heading2"/>
      </w:pPr>
      <w:r>
        <w:t xml:space="preserve">3. Assessment and Intervention Strategy</w:t>
      </w:r>
    </w:p>
    <w:p>
      <w:pPr>
        <w:pStyle w:val="FirstParagraph"/>
      </w:pPr>
      <w:r>
        <w:t xml:space="preserve">The core of this case study revolves around the methodology employed by the</w:t>
      </w:r>
      <w:r>
        <w:t xml:space="preserve"> </w:t>
      </w:r>
      <w:r>
        <w:rPr>
          <w:bCs/>
          <w:b/>
        </w:rPr>
        <w:t xml:space="preserve">Social Worker</w:t>
      </w:r>
      <w:r>
        <w:t xml:space="preserve">. In New Zealand, practice is heavily influenced by Te Tiriti o Waitangi (The Treaty of Waitangi) principles, requiring partnership, participation, and protection for Māori interests. Since Aroha identifies as Māori, cultural safety was not merely an add-on but a central pillar of the intervention.</w:t>
      </w:r>
    </w:p>
    <w:bookmarkStart w:id="23" w:name="strengths-based-approach"/>
    <w:p>
      <w:pPr>
        <w:pStyle w:val="Heading3"/>
      </w:pPr>
      <w:r>
        <w:t xml:space="preserve">Strengths-Based Approach</w:t>
      </w:r>
    </w:p>
    <w:p>
      <w:pPr>
        <w:pStyle w:val="FirstParagraph"/>
      </w:pPr>
      <w:r>
        <w:t xml:space="preserve">Rather than focusing solely on deficits, the Social Worker conducted a strengths-based assessment. Key protective factors identified included:</w:t>
      </w:r>
    </w:p>
    <w:p>
      <w:pPr>
        <w:numPr>
          <w:ilvl w:val="0"/>
          <w:numId w:val="1001"/>
        </w:numPr>
        <w:pStyle w:val="Compact"/>
      </w:pPr>
      <w:r>
        <w:rPr>
          <w:bCs/>
          <w:b/>
        </w:rPr>
        <w:t xml:space="preserve">Fa’aletaga (Extended Family Support):</w:t>
      </w:r>
      <w:r>
        <w:t xml:space="preserve">A network of aunties and cousins in Upper Hutt willing to provide temporary respite care.</w:t>
      </w:r>
    </w:p>
    <w:p>
      <w:pPr>
        <w:numPr>
          <w:ilvl w:val="0"/>
          <w:numId w:val="1001"/>
        </w:numPr>
        <w:pStyle w:val="Compact"/>
      </w:pPr>
      <w:r>
        <w:rPr>
          <w:bCs/>
          <w:b/>
        </w:rPr>
        <w:t xml:space="preserve">Cultural Identity:</w:t>
      </w:r>
      <w:r>
        <w:t xml:space="preserve">Aroha’s strong connection to her marae (meeting grounds) in the Porirua region.</w:t>
      </w:r>
    </w:p>
    <w:p>
      <w:pPr>
        <w:numPr>
          <w:ilvl w:val="0"/>
          <w:numId w:val="1001"/>
        </w:numPr>
        <w:pStyle w:val="Compact"/>
      </w:pPr>
      <w:r>
        <w:rPr>
          <w:bCs/>
          <w:b/>
        </w:rPr>
        <w:t xml:space="preserve">Motivation:</w:t>
      </w:r>
      <w:r>
        <w:t xml:space="preserve">Aroha expressed a genuine desire to improve her circumstances and was engaged with local addiction support services.</w:t>
      </w:r>
    </w:p>
    <w:bookmarkEnd w:id="23"/>
    <w:bookmarkStart w:id="24" w:name="the-wellington-context"/>
    <w:p>
      <w:pPr>
        <w:pStyle w:val="Heading3"/>
      </w:pPr>
      <w:r>
        <w:t xml:space="preserve">The Wellington Context</w:t>
      </w:r>
    </w:p>
    <w:p>
      <w:pPr>
        <w:pStyle w:val="FirstParagraph"/>
      </w:pPr>
      <w:r>
        <w:t xml:space="preserve">New Zealand Wellington offers specific community resources that were leveraged in this case. The Social Worker facilitated referrals to:</w:t>
      </w:r>
    </w:p>
    <w:p>
      <w:pPr>
        <w:numPr>
          <w:ilvl w:val="0"/>
          <w:numId w:val="1002"/>
        </w:numPr>
        <w:pStyle w:val="Compact"/>
      </w:pPr>
      <w:r>
        <w:rPr>
          <w:bCs/>
          <w:b/>
        </w:rPr>
        <w:t xml:space="preserve">The Community Law Centre:</w:t>
      </w:r>
      <w:r>
        <w:t xml:space="preserve"> </w:t>
      </w:r>
      <w:r>
        <w:t xml:space="preserve">To assist with urgent benefits appeals through the Ministry of Social Development (MSD).</w:t>
      </w:r>
    </w:p>
    <w:p>
      <w:pPr>
        <w:numPr>
          <w:ilvl w:val="0"/>
          <w:numId w:val="1002"/>
        </w:numPr>
        <w:pStyle w:val="Compact"/>
      </w:pPr>
      <w:r>
        <w:rPr>
          <w:bCs/>
          <w:b/>
        </w:rPr>
        <w:t xml:space="preserve">Housing New Zealand Wellington Regional Office:</w:t>
      </w:r>
      <w:r>
        <w:t xml:space="preserve"> </w:t>
      </w:r>
      <w:r>
        <w:t xml:space="preserve">To apply for a transfer to a property with better heating and insulation, critical for the children’s respiratory health.</w:t>
      </w:r>
    </w:p>
    <w:p>
      <w:pPr>
        <w:numPr>
          <w:ilvl w:val="0"/>
          <w:numId w:val="1002"/>
        </w:numPr>
        <w:pStyle w:val="Compact"/>
      </w:pPr>
      <w:r>
        <w:rPr>
          <w:bCs/>
          <w:b/>
        </w:rPr>
        <w:t xml:space="preserve">Pasifika and Māori Community Hubs:</w:t>
      </w:r>
      <w:r>
        <w:t xml:space="preserve"> </w:t>
      </w:r>
      <w:r>
        <w:t xml:space="preserve">For culturally specific counseling and parenting workshops.</w:t>
      </w:r>
    </w:p>
    <w:bookmarkEnd w:id="24"/>
    <w:bookmarkEnd w:id="25"/>
    <w:bookmarkStart w:id="26" w:name="challenges-faced"/>
    <w:p>
      <w:pPr>
        <w:pStyle w:val="Heading2"/>
      </w:pPr>
      <w:r>
        <w:t xml:space="preserve">4. Challenges Faced</w:t>
      </w:r>
    </w:p>
    <w:p>
      <w:pPr>
        <w:pStyle w:val="FirstParagraph"/>
      </w:pPr>
      <w:r>
        <w:t xml:space="preserve">The intervention was not without significant hurdles. A primary challenge in New Zealand Wellington is the disparity between service availability and demand. Waitlists for mental health services can be extensive. Furthermore, the cost of living crisis in Wellington has intensified housing insecurity, making it difficult for vulnerable families to maintain tenancy even with assistance.</w:t>
      </w:r>
    </w:p>
    <w:p>
      <w:pPr>
        <w:pStyle w:val="BodyText"/>
      </w:pPr>
      <w:r>
        <w:t xml:space="preserve">The</w:t>
      </w:r>
      <w:r>
        <w:t xml:space="preserve"> </w:t>
      </w:r>
      <w:r>
        <w:rPr>
          <w:bCs/>
          <w:b/>
        </w:rPr>
        <w:t xml:space="preserve">Social Worker</w:t>
      </w:r>
      <w:r>
        <w:t xml:space="preserve"> </w:t>
      </w:r>
      <w:r>
        <w:t xml:space="preserve">also had to navigate the tension between statutory monitoring and supportive advocacy. While Oranga Tamariki requires strict adherence to safety plans, the Social Worker aimed to keep the family intact rather than entering care. This required meticulous documentation and regular multi-agency meetings involving schools, health professionals, and police.</w:t>
      </w:r>
    </w:p>
    <w:bookmarkEnd w:id="26"/>
    <w:bookmarkStart w:id="27" w:name="outcome-and-evaluation"/>
    <w:p>
      <w:pPr>
        <w:pStyle w:val="Heading2"/>
      </w:pPr>
      <w:r>
        <w:t xml:space="preserve">5. Outcome and Evaluation</w:t>
      </w:r>
    </w:p>
    <w:p>
      <w:pPr>
        <w:pStyle w:val="FirstParagraph"/>
      </w:pPr>
      <w:r>
        <w:t xml:space="preserve">After twelve months of intensive case management, significant progress was recorded.</w:t>
      </w:r>
    </w:p>
    <w:p>
      <w:pPr>
        <w:numPr>
          <w:ilvl w:val="0"/>
          <w:numId w:val="1003"/>
        </w:numPr>
        <w:pStyle w:val="Compact"/>
      </w:pPr>
      <w:r>
        <w:rPr>
          <w:bCs/>
          <w:b/>
        </w:rPr>
        <w:t xml:space="preserve">Housing Stability:</w:t>
      </w:r>
      <w:r>
        <w:t xml:space="preserve">The family secured a two-bedroom unit in the suburb of Island Bay with adequate heating.</w:t>
      </w:r>
    </w:p>
    <w:p>
      <w:pPr>
        <w:numPr>
          <w:ilvl w:val="0"/>
          <w:numId w:val="1003"/>
        </w:numPr>
        <w:pStyle w:val="Compact"/>
      </w:pPr>
      <w:r>
        <w:rPr>
          <w:bCs/>
          <w:b/>
        </w:rPr>
        <w:t xml:space="preserve">Economic Stability:</w:t>
      </w:r>
      <w:r>
        <w:t xml:space="preserve">Aroha completed a certificate course in administrative support and secured part-time employment.</w:t>
      </w:r>
    </w:p>
    <w:p>
      <w:pPr>
        <w:numPr>
          <w:ilvl w:val="0"/>
          <w:numId w:val="1003"/>
        </w:numPr>
        <w:pStyle w:val="Compact"/>
      </w:pPr>
      <w:r>
        <w:rPr>
          <w:bCs/>
          <w:b/>
        </w:rPr>
        <w:t xml:space="preserve">Child Wellbeing:</w:t>
      </w:r>
      <w:r>
        <w:t xml:space="preserve">Tane and Rangi’s school attendance improved to 95%, and behavioral incidents decreased significantly. The bruises attributed to neglect were resolved, with medical evidence confirming previous injuries were accidental during play.</w:t>
      </w:r>
    </w:p>
    <w:p>
      <w:pPr>
        <w:pStyle w:val="FirstParagraph"/>
      </w:pPr>
      <w:r>
        <w:t xml:space="preserve">Culturally, the family reconnected with their iwi (tribe), which provided Aroha with a renewed sense of identity and support. This holistic approach aligns with the best practices of Social Work in New Zealand, recognizing that individual well-being is inextricably linked to whānau (family) and community health.</w:t>
      </w:r>
    </w:p>
    <w:bookmarkEnd w:id="27"/>
    <w:bookmarkStart w:id="28" w:name="discussion-the-role-of-the-social-worker"/>
    <w:p>
      <w:pPr>
        <w:pStyle w:val="Heading2"/>
      </w:pPr>
      <w:r>
        <w:t xml:space="preserve">6. Discussion: The Role of the Social Worker</w:t>
      </w:r>
    </w:p>
    <w:p>
      <w:pPr>
        <w:pStyle w:val="FirstParagraph"/>
      </w:pPr>
      <w:r>
        <w:t xml:space="preserve">This case study highlights the multifaceted role of a Social Worker in New Zealand Wellington. The practitioner acted as:</w:t>
      </w:r>
    </w:p>
    <w:p>
      <w:pPr>
        <w:numPr>
          <w:ilvl w:val="0"/>
          <w:numId w:val="1004"/>
        </w:numPr>
        <w:pStyle w:val="Compact"/>
      </w:pPr>
      <w:r>
        <w:rPr>
          <w:bCs/>
          <w:b/>
        </w:rPr>
        <w:t xml:space="preserve">Navigators:</w:t>
      </w:r>
      <w:r>
        <w:t xml:space="preserve">Guiding clients through complex bureaucratic systems (MSD, Health, Education).</w:t>
      </w:r>
    </w:p>
    <w:p>
      <w:pPr>
        <w:numPr>
          <w:ilvl w:val="0"/>
          <w:numId w:val="1004"/>
        </w:numPr>
        <w:pStyle w:val="Compact"/>
      </w:pPr>
      <w:r>
        <w:t xml:space="preserve">Fighting for resources and fair treatment within the welfare state.</w:t>
      </w:r>
    </w:p>
    <w:p>
      <w:pPr>
        <w:numPr>
          <w:ilvl w:val="0"/>
          <w:numId w:val="1004"/>
        </w:numPr>
        <w:pStyle w:val="Compact"/>
      </w:pPr>
      <w:r>
        <w:rPr>
          <w:bCs/>
          <w:b/>
        </w:rPr>
        <w:t xml:space="preserve">Cultural Brokers:</w:t>
      </w:r>
      <w:r>
        <w:t xml:space="preserve">Ensuring that interventions respect and incorporate tikanga Māori (Māori customs).</w:t>
      </w:r>
    </w:p>
    <w:p>
      <w:pPr>
        <w:pStyle w:val="FirstParagraph"/>
      </w:pPr>
      <w:r>
        <w:t xml:space="preserve">The effectiveness of the intervention was largely dependent on the Social Worker’s ability to build trust. In a city like Wellington, where community networks are tight-knit but transient due to job mobility, consistency is key. The Social Worker maintained regular home visits and utilized digital communication tools to maintain contact between formal meetings.</w:t>
      </w:r>
    </w:p>
    <w:bookmarkEnd w:id="28"/>
    <w:bookmarkStart w:id="29" w:name="conclusion"/>
    <w:p>
      <w:pPr>
        <w:pStyle w:val="Heading2"/>
      </w:pPr>
      <w:r>
        <w:t xml:space="preserve">7. Conclusion</w:t>
      </w:r>
    </w:p>
    <w:p>
      <w:pPr>
        <w:pStyle w:val="FirstParagraph"/>
      </w:pPr>
      <w:r>
        <w:t xml:space="preserve">The 'A.' family case demonstrates that effective Social Work in New Zealand Wellington requires a blend of statutory rigor and compassionate, culturally grounded practice. By leveraging local community assets and adhering to the principles of Te Tiriti o Waitangi, the Social Worker was able to stabilize a high-risk situation without separation.</w:t>
      </w:r>
    </w:p>
    <w:p>
      <w:pPr>
        <w:pStyle w:val="BodyText"/>
      </w:pPr>
      <w:r>
        <w:t xml:space="preserve">This case serves as a template for future interventions in similar urban settings within New Zealand. It underscores the importance of early intervention, holistic assessment, and inter-agency collaboration. As housing pressures in Wellington continue to rise, Social Workers must remain agile, advocating not only for individual families but also for systemic changes that address the root causes of poverty and neglect.</w:t>
      </w:r>
    </w:p>
    <w:p>
      <w:pPr>
        <w:pStyle w:val="BodyText"/>
      </w:pPr>
      <w:r>
        <w:rPr>
          <w:bCs/>
          <w:b/>
        </w:rPr>
        <w:t xml:space="preserve">Recommendations:</w:t>
      </w:r>
    </w:p>
    <w:p>
      <w:pPr>
        <w:numPr>
          <w:ilvl w:val="0"/>
          <w:numId w:val="1005"/>
        </w:numPr>
        <w:pStyle w:val="Compact"/>
      </w:pPr>
      <w:r>
        <w:t xml:space="preserve">Increase funding for early intervention programs in high-density urban areas like Brooklyn and Miramar.</w:t>
      </w:r>
    </w:p>
    <w:p>
      <w:pPr>
        <w:numPr>
          <w:ilvl w:val="0"/>
          <w:numId w:val="1005"/>
        </w:numPr>
        <w:pStyle w:val="Compact"/>
      </w:pPr>
      <w:r>
        <w:t xml:space="preserve">Expand mental health support capacity to reduce wait times for families in crisis.</w:t>
      </w:r>
    </w:p>
    <w:p>
      <w:pPr>
        <w:numPr>
          <w:ilvl w:val="0"/>
          <w:numId w:val="1005"/>
        </w:numPr>
        <w:pStyle w:val="Compact"/>
      </w:pPr>
      <w:r>
        <w:t xml:space="preserve">Promote further training for Social Workers on housing rights and financial counseling to empower clients independently.</w:t>
      </w:r>
    </w:p>
    <w:p>
      <w:pPr>
        <w:pStyle w:val="FirstParagraph"/>
      </w:pPr>
      <w:r>
        <w:rPr>
          <w:iCs/>
          <w:i/>
        </w:rPr>
        <w:t xml:space="preserve">*Disclaimer: This document is a fictionalized case study created for educational purposes. Names and identifying details have been changed or aggregated to protect privacy, consistent with the Privacy Act 2020 in New Zealand.*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New Zealand Wellington</dc:title>
  <dc:creator/>
  <dc:language>en</dc:language>
  <cp:keywords/>
  <dcterms:created xsi:type="dcterms:W3CDTF">2026-07-29T13:44:30Z</dcterms:created>
  <dcterms:modified xsi:type="dcterms:W3CDTF">2026-07-29T13:44:30Z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