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87c3c970fa2d9c551fd2c9086167c3d722c3cb"/>
    <w:p>
      <w:pPr>
        <w:pStyle w:val="Heading1"/>
      </w:pPr>
      <w:r>
        <w:t xml:space="preserve">Clinical Case Study: Integrated Social Work Intervention in Urban Russia Moscow</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Central Administrative Okrug, Russia Moscow</w:t>
      </w:r>
      <w:r>
        <w:br/>
      </w:r>
      <w:r>
        <w:rPr>
          <w:bCs/>
          <w:b/>
        </w:rPr>
        <w:t xml:space="preserve">Type of Document:</w:t>
      </w:r>
      <w:r>
        <w:t xml:space="preserve"> </w:t>
      </w:r>
      <w:r>
        <w:t xml:space="preserve">Professional Case Study for Social Worker Practice</w:t>
      </w:r>
    </w:p>
    <w:bookmarkStart w:id="20" w:name="Xfb7924664c2d4703417ffc606474bfd8a6f1a5f"/>
    <w:p>
      <w:pPr>
        <w:pStyle w:val="Heading2"/>
      </w:pPr>
      <w:r>
        <w:t xml:space="preserve">1. Executive Summary and Contextual Framework</w:t>
      </w:r>
    </w:p>
    <w:p>
      <w:pPr>
        <w:pStyle w:val="FirstParagraph"/>
      </w:pPr>
      <w:r>
        <w:t xml:space="preserve">This case study outlines a complex intervention involving a multi-generational family facing socioeconomic instability within the specific urban context of</w:t>
      </w:r>
      <w:r>
        <w:t xml:space="preserve"> </w:t>
      </w:r>
      <w:r>
        <w:rPr>
          <w:bCs/>
          <w:b/>
        </w:rPr>
        <w:t xml:space="preserve">Russia Moscow</w:t>
      </w:r>
      <w:r>
        <w:t xml:space="preserve">. The primary objective is to demonstrate the efficacy of modern social work methodologies adapted to the post-Soviet legal framework, current economic sanctions, and unique cultural dynamics of one of Europe’s most densely populated capitals. For a</w:t>
      </w:r>
      <w:r>
        <w:t xml:space="preserve"> </w:t>
      </w:r>
      <w:r>
        <w:rPr>
          <w:bCs/>
          <w:b/>
        </w:rPr>
        <w:t xml:space="preserve">Social Worker</w:t>
      </w:r>
      <w:r>
        <w:t xml:space="preserve"> </w:t>
      </w:r>
      <w:r>
        <w:t xml:space="preserve">operating in this region, understanding the interplay between state-sponsored welfare systems (such as the Pension Fund and Social Protection Departments) and emerging non-governmental organizations (NGOs) is critical. The scenario highlights the challenges of navigating bureaucratic inertia while addressing immediate needs for housing security, mental health support, and educational continuity.</w:t>
      </w:r>
    </w:p>
    <w:bookmarkEnd w:id="20"/>
    <w:bookmarkStart w:id="21" w:name="client-profile-the-volkov-family"/>
    <w:p>
      <w:pPr>
        <w:pStyle w:val="Heading2"/>
      </w:pPr>
      <w:r>
        <w:t xml:space="preserve">2. Client Profile: The Volkov Family</w:t>
      </w:r>
    </w:p>
    <w:p>
      <w:pPr>
        <w:pStyle w:val="FirstParagraph"/>
      </w:pPr>
      <w:r>
        <w:t xml:space="preserve">The clients are the Volkov family, consisting of three generations currently residing in a communal apartment (</w:t>
      </w:r>
      <w:r>
        <w:rPr>
          <w:iCs/>
          <w:i/>
        </w:rPr>
        <w:t xml:space="preserve">kommunalka</w:t>
      </w:r>
      <w:r>
        <w:t xml:space="preserve">) located in an aging building district of</w:t>
      </w:r>
      <w:r>
        <w:t xml:space="preserve"> </w:t>
      </w:r>
      <w:r>
        <w:rPr>
          <w:bCs/>
          <w:b/>
        </w:rPr>
        <w:t xml:space="preserve">Russia Moscow</w:t>
      </w:r>
      <w:r>
        <w:t xml:space="preserve">, near the Chelyabinskaya metro station.</w:t>
      </w:r>
    </w:p>
    <w:p>
      <w:pPr>
        <w:numPr>
          <w:ilvl w:val="0"/>
          <w:numId w:val="1001"/>
        </w:numPr>
        <w:pStyle w:val="Compact"/>
      </w:pPr>
      <w:r>
        <w:rPr>
          <w:bCs/>
          <w:b/>
        </w:rPr>
        <w:t xml:space="preserve">Natalia Volkova (42):</w:t>
      </w:r>
      <w:r>
        <w:t xml:space="preserve"> </w:t>
      </w:r>
      <w:r>
        <w:t xml:space="preserve">The primary caregiver and former retail manager. She was laid off during recent economic shifts and has since experienced symptoms of generalized anxiety disorder.</w:t>
      </w:r>
    </w:p>
    <w:p>
      <w:pPr>
        <w:numPr>
          <w:ilvl w:val="0"/>
          <w:numId w:val="1001"/>
        </w:numPr>
        <w:pStyle w:val="Compact"/>
      </w:pPr>
      <w:r>
        <w:rPr>
          <w:bCs/>
          <w:b/>
        </w:rPr>
        <w:t xml:space="preserve">Alexei Volkov (68):</w:t>
      </w:r>
      <w:r>
        <w:t xml:space="preserve"> </w:t>
      </w:r>
      <w:r>
        <w:t xml:space="preserve">Natalia’s father, a retired railway engineer. He suffers from chronic hypertension and mild cognitive decline, requiring daily medication and supervision.</w:t>
      </w:r>
    </w:p>
    <w:p>
      <w:pPr>
        <w:numPr>
          <w:ilvl w:val="0"/>
          <w:numId w:val="1001"/>
        </w:numPr>
        <w:pStyle w:val="Compact"/>
      </w:pPr>
      <w:r>
        <w:rPr>
          <w:bCs/>
          <w:b/>
        </w:rPr>
        <w:t xml:space="preserve">Dmitry Volkov (16):</w:t>
      </w:r>
      <w:r>
        <w:t xml:space="preserve"> </w:t>
      </w:r>
      <w:r>
        <w:t xml:space="preserve">The grandson, currently in the 10th grade. He has shown a significant drop in academic performance and exhibits signs of social isolation, likely exacerbated by bullying related to his family’s financial status.</w:t>
      </w:r>
    </w:p>
    <w:p>
      <w:pPr>
        <w:pStyle w:val="FirstParagraph"/>
      </w:pPr>
      <w:r>
        <w:t xml:space="preserve">The household faces immediate threats of eviction due to unpaid utility bills (</w:t>
      </w:r>
      <w:r>
        <w:rPr>
          <w:iCs/>
          <w:i/>
        </w:rPr>
        <w:t xml:space="preserve">KHO</w:t>
      </w:r>
      <w:r>
        <w:t xml:space="preserve">) and administrative fees. In</w:t>
      </w:r>
      <w:r>
        <w:t xml:space="preserve"> </w:t>
      </w:r>
      <w:r>
        <w:rPr>
          <w:bCs/>
          <w:b/>
        </w:rPr>
        <w:t xml:space="preserve">Russia Moscow</w:t>
      </w:r>
      <w:r>
        <w:t xml:space="preserve">, the cost of living has risen sharply, and the gap between fixed pensions/income and inflation has created a precarious situation for middle-income families who do not qualify for maximum state poverty assistance but cannot sustain their current lifestyle.</w:t>
      </w:r>
    </w:p>
    <w:bookmarkEnd w:id="21"/>
    <w:bookmarkStart w:id="25" w:name="problem-assessment"/>
    <w:p>
      <w:pPr>
        <w:pStyle w:val="Heading2"/>
      </w:pPr>
      <w:r>
        <w:t xml:space="preserve">3. Problem Assessment</w:t>
      </w:r>
    </w:p>
    <w:p>
      <w:pPr>
        <w:pStyle w:val="FirstParagraph"/>
      </w:pPr>
      <w:r>
        <w:t xml:space="preserve">The</w:t>
      </w:r>
      <w:r>
        <w:t xml:space="preserve"> </w:t>
      </w:r>
      <w:r>
        <w:rPr>
          <w:bCs/>
          <w:b/>
        </w:rPr>
        <w:t xml:space="preserve">Social Worker</w:t>
      </w:r>
      <w:r>
        <w:t xml:space="preserve"> </w:t>
      </w:r>
      <w:r>
        <w:t xml:space="preserve">conducted a comprehensive biopsychosocial assessment. The core issues are identified as follows:</w:t>
      </w:r>
    </w:p>
    <w:bookmarkStart w:id="22" w:name="X92f31d6b87f020b7cccbad0457760f4812ff7ea"/>
    <w:p>
      <w:pPr>
        <w:pStyle w:val="Heading3"/>
      </w:pPr>
      <w:r>
        <w:t xml:space="preserve">A. Economic Instability and Housing Rights</w:t>
      </w:r>
    </w:p>
    <w:p>
      <w:pPr>
        <w:pStyle w:val="FirstParagraph"/>
      </w:pPr>
      <w:r>
        <w:br/>
      </w:r>
    </w:p>
    <w:p>
      <w:pPr>
        <w:pStyle w:val="BodyText"/>
      </w:pPr>
      <w:r>
        <w:t xml:space="preserve">The primary stressor is financial insolvency regarding housing and communal services (HKU). In the context of</w:t>
      </w:r>
      <w:r>
        <w:t xml:space="preserve"> </w:t>
      </w:r>
      <w:r>
        <w:rPr>
          <w:bCs/>
          <w:b/>
        </w:rPr>
        <w:t xml:space="preserve">Russia Moscow</w:t>
      </w:r>
      <w:r>
        <w:t xml:space="preserve">, eviction from state or municipal housing is a lengthy legal process, but utility shutoffs can occur rapidly, posing health risks to Alexei. The family lacks access to liquid assets due to frozen bank accounts resulting from bureaucratic delays in processing Natalia’s unemployment benefits.</w:t>
      </w:r>
    </w:p>
    <w:bookmarkEnd w:id="22"/>
    <w:bookmarkStart w:id="23" w:name="b.-mental-health-and-caregiver-burnout"/>
    <w:p>
      <w:pPr>
        <w:pStyle w:val="Heading3"/>
      </w:pPr>
      <w:r>
        <w:t xml:space="preserve">B. Mental Health and Caregiver Burnout</w:t>
      </w:r>
    </w:p>
    <w:p>
      <w:pPr>
        <w:pStyle w:val="FirstParagraph"/>
      </w:pPr>
      <w:r>
        <w:br/>
      </w:r>
    </w:p>
    <w:p>
      <w:pPr>
        <w:pStyle w:val="BodyText"/>
      </w:pPr>
      <w:r>
        <w:t xml:space="preserve">Natalia exhibits signs of severe caregiver burnout, a common issue among female breadwinners in post-Soviet societies where extended family care is often expected without institutional support. Her anxiety limits her ability to engage with social services effectively. There is a cultural stigma attached to seeking psychological help, which initially prevented her from accessing counseling services.</w:t>
      </w:r>
    </w:p>
    <w:bookmarkEnd w:id="23"/>
    <w:bookmarkStart w:id="24" w:name="X5e444bd8265111fce3949558e93a98550f27318"/>
    <w:p>
      <w:pPr>
        <w:pStyle w:val="Heading3"/>
      </w:pPr>
      <w:r>
        <w:t xml:space="preserve">C. Educational Disruption and Youth Vulnerability</w:t>
      </w:r>
    </w:p>
    <w:p>
      <w:pPr>
        <w:pStyle w:val="FirstParagraph"/>
      </w:pPr>
      <w:r>
        <w:br/>
      </w:r>
    </w:p>
    <w:p>
      <w:pPr>
        <w:pStyle w:val="BodyText"/>
      </w:pPr>
      <w:r>
        <w:t xml:space="preserve">Dmitry’s academic decline poses a long-term risk of dropping out, perpetuating the cycle of poverty. Adolescents in large metropolitan areas like</w:t>
      </w:r>
      <w:r>
        <w:t xml:space="preserve"> </w:t>
      </w:r>
      <w:r>
        <w:rPr>
          <w:bCs/>
          <w:b/>
        </w:rPr>
        <w:t xml:space="preserve">Russia Moscow</w:t>
      </w:r>
      <w:r>
        <w:t xml:space="preserve"> </w:t>
      </w:r>
      <w:r>
        <w:t xml:space="preserve">are susceptible to peer pressure and digital radicalization when feeling marginalized. The lack of safe after-school spaces due to financial constraints has left Dmitry unsupervised during peak hours.</w:t>
      </w:r>
    </w:p>
    <w:bookmarkEnd w:id="24"/>
    <w:bookmarkEnd w:id="25"/>
    <w:bookmarkStart w:id="29" w:name="intervention-strategy"/>
    <w:p>
      <w:pPr>
        <w:pStyle w:val="Heading2"/>
      </w:pPr>
      <w:r>
        <w:t xml:space="preserve">4. Intervention Strategy</w:t>
      </w:r>
    </w:p>
    <w:p>
      <w:pPr>
        <w:pStyle w:val="FirstParagraph"/>
      </w:pPr>
      <w:r>
        <w:t xml:space="preserve">The intervention plan was developed collaboratively by the assigned</w:t>
      </w:r>
      <w:r>
        <w:t xml:space="preserve"> </w:t>
      </w:r>
      <w:r>
        <w:rPr>
          <w:bCs/>
          <w:b/>
        </w:rPr>
        <w:t xml:space="preserve">Social Worker</w:t>
      </w:r>
      <w:r>
        <w:t xml:space="preserve">, utilizing a mix of state resources and community-based NGO support. The strategy is divided into three phases: Immediate Stabilization, Medium-Term Support, and Long-Term Empowerment.</w:t>
      </w:r>
    </w:p>
    <w:bookmarkStart w:id="26" w:name="Xffe07defb15f8260d6d2dc9880df68ffafd3582"/>
    <w:p>
      <w:pPr>
        <w:pStyle w:val="Heading3"/>
      </w:pPr>
      <w:r>
        <w:t xml:space="preserve">Phase 1: Immediate Stabilization (Weeks 1-4)</w:t>
      </w:r>
    </w:p>
    <w:p>
      <w:pPr>
        <w:pStyle w:val="FirstParagraph"/>
      </w:pPr>
      <w:r>
        <w:br/>
      </w:r>
    </w:p>
    <w:p>
      <w:pPr>
        <w:pStyle w:val="BodyText"/>
      </w:pPr>
      <w:r>
        <w:t xml:space="preserve">The</w:t>
      </w:r>
      <w:r>
        <w:t xml:space="preserve"> </w:t>
      </w:r>
      <w:r>
        <w:rPr>
          <w:bCs/>
          <w:b/>
        </w:rPr>
        <w:t xml:space="preserve">Social Worker</w:t>
      </w:r>
      <w:r>
        <w:t xml:space="preserve"> </w:t>
      </w:r>
      <w:r>
        <w:t xml:space="preserve">prioritized preventing utility shutoffs. This involved:</w:t>
      </w:r>
    </w:p>
    <w:p>
      <w:pPr>
        <w:numPr>
          <w:ilvl w:val="0"/>
          <w:numId w:val="1002"/>
        </w:numPr>
        <w:pStyle w:val="Compact"/>
      </w:pPr>
      <w:r>
        <w:rPr>
          <w:bCs/>
          <w:b/>
        </w:rPr>
        <w:t xml:space="preserve">Bureaucratic Advocacy:</w:t>
      </w:r>
      <w:r>
        <w:t xml:space="preserve"> </w:t>
      </w:r>
      <w:r>
        <w:t xml:space="preserve">Accompanying Natalia to the local branch of the Multifunctional Center (</w:t>
      </w:r>
      <w:r>
        <w:rPr>
          <w:iCs/>
          <w:i/>
        </w:rPr>
        <w:t xml:space="preserve">MFC</w:t>
      </w:r>
      <w:r>
        <w:t xml:space="preserve">) to expedite applications for regional social allowances specific to Moscow residents. The worker helped navigate the digital portal "Gosuslugi" (State Services), ensuring all documentation was correctly uploaded.</w:t>
      </w:r>
    </w:p>
    <w:p>
      <w:pPr>
        <w:numPr>
          <w:ilvl w:val="0"/>
          <w:numId w:val="1002"/>
        </w:numPr>
        <w:pStyle w:val="Compact"/>
      </w:pPr>
      <w:r>
        <w:rPr>
          <w:bCs/>
          <w:b/>
        </w:rPr>
        <w:t xml:space="preserve">Emergency Food and Utility Aid:</w:t>
      </w:r>
      <w:r>
        <w:t xml:space="preserve"> </w:t>
      </w:r>
      <w:r>
        <w:t xml:space="preserve">Connecting the family with a local Orthodox charity organization that operates in Central Moscow. These organizations often provide food vouchers and can negotiate temporary payment plans with utility providers, leveraging their community standing to halt immediate disconnections.</w:t>
      </w:r>
    </w:p>
    <w:bookmarkEnd w:id="26"/>
    <w:bookmarkStart w:id="27" w:name="phase-2-medium-term-support-months-2-6"/>
    <w:p>
      <w:pPr>
        <w:pStyle w:val="Heading3"/>
      </w:pPr>
      <w:r>
        <w:t xml:space="preserve">Phase 2: Medium-Term Support (Months 2-6)</w:t>
      </w:r>
    </w:p>
    <w:p>
      <w:pPr>
        <w:pStyle w:val="FirstParagraph"/>
      </w:pPr>
      <w:r>
        <w:br/>
      </w:r>
    </w:p>
    <w:p>
      <w:pPr>
        <w:pStyle w:val="BodyText"/>
      </w:pPr>
      <w:r>
        <w:t xml:space="preserve">This phase focused on health and educational continuity:</w:t>
      </w:r>
    </w:p>
    <w:p>
      <w:pPr>
        <w:numPr>
          <w:ilvl w:val="0"/>
          <w:numId w:val="1003"/>
        </w:numPr>
        <w:pStyle w:val="Compact"/>
      </w:pPr>
      <w:r>
        <w:rPr>
          <w:bCs/>
          <w:b/>
        </w:rPr>
        <w:t xml:space="preserve">Mental Health Access:</w:t>
      </w:r>
      <w:r>
        <w:t xml:space="preserve">: The</w:t>
      </w:r>
      <w:r>
        <w:t xml:space="preserve"> </w:t>
      </w:r>
      <w:r>
        <w:rPr>
          <w:bCs/>
          <w:b/>
        </w:rPr>
        <w:t xml:space="preserve">Social Worker</w:t>
      </w:r>
      <w:r>
        <w:t xml:space="preserve">: facilitated referrals to state-funded psychological services available through the Moscow Department of Health. To overcome stigma, the worker framed these sessions as "stress management coaching" rather than psychiatric treatment, a culturally sensitive approach often required in Russian contexts.</w:t>
      </w:r>
    </w:p>
    <w:p>
      <w:pPr>
        <w:numPr>
          <w:ilvl w:val="0"/>
          <w:numId w:val="1003"/>
        </w:numPr>
        <w:pStyle w:val="Compact"/>
      </w:pPr>
      <w:r>
        <w:rPr>
          <w:bCs/>
          <w:b/>
        </w:rPr>
        <w:t xml:space="preserve">Caregiver Respite:</w:t>
      </w:r>
      <w:r>
        <w:t xml:space="preserve">: Arranging for a certified home-care assistant (funded through the regional care allowance for elderly relatives) to assist Alexei twice weekly. This relieved Natalia’s physical burden, allowing her to focus on job hunting and Dmitry’s schooling.</w:t>
      </w:r>
    </w:p>
    <w:p>
      <w:pPr>
        <w:numPr>
          <w:ilvl w:val="0"/>
          <w:numId w:val="1003"/>
        </w:numPr>
        <w:pStyle w:val="Compact"/>
      </w:pPr>
      <w:r>
        <w:rPr>
          <w:bCs/>
          <w:b/>
        </w:rPr>
        <w:t xml:space="preserve">Educational Support:</w:t>
      </w:r>
      <w:r>
        <w:t xml:space="preserve">: Enrolling Dmitry in a free municipal tutoring program and a youth sports club in their district. Participation in structured community activities was crucial for rebuilding his social confidence and reducing isolation.</w:t>
      </w:r>
    </w:p>
    <w:bookmarkEnd w:id="27"/>
    <w:bookmarkStart w:id="28" w:name="phase-3-long-term-empowerment-months-6"/>
    <w:p>
      <w:pPr>
        <w:pStyle w:val="Heading3"/>
      </w:pPr>
      <w:r>
        <w:t xml:space="preserve">Phase 3: Long-Term Empowerment (Months 6+)</w:t>
      </w:r>
    </w:p>
    <w:p>
      <w:pPr>
        <w:pStyle w:val="FirstParagraph"/>
      </w:pPr>
      <w:r>
        <w:br/>
      </w:r>
    </w:p>
    <w:p>
      <w:pPr>
        <w:pStyle w:val="BodyText"/>
      </w:pPr>
      <w:r>
        <w:t xml:space="preserve">The goal is sustainability:</w:t>
      </w:r>
    </w:p>
    <w:p>
      <w:pPr>
        <w:numPr>
          <w:ilvl w:val="0"/>
          <w:numId w:val="1004"/>
        </w:numPr>
        <w:pStyle w:val="Compact"/>
      </w:pPr>
      <w:r>
        <w:rPr>
          <w:bCs/>
          <w:b/>
        </w:rPr>
        <w:t xml:space="preserve">Vocational Retraining:</w:t>
      </w:r>
      <w:r>
        <w:t xml:space="preserve">: Supporting Natalia in enrolling in a government-subsidized online certification course for digital administration, tailored for laid-off workers. This leverages the growing IT and administrative sectors in</w:t>
      </w:r>
      <w:r>
        <w:t xml:space="preserve"> </w:t>
      </w:r>
      <w:r>
        <w:rPr>
          <w:bCs/>
          <w:b/>
        </w:rPr>
        <w:t xml:space="preserve">Russia Moscow</w:t>
      </w:r>
      <w:r>
        <w:t xml:space="preserve">.</w:t>
      </w:r>
    </w:p>
    <w:p>
      <w:pPr>
        <w:numPr>
          <w:ilvl w:val="0"/>
          <w:numId w:val="1004"/>
        </w:numPr>
        <w:pStyle w:val="Compact"/>
      </w:pPr>
      <w:r>
        <w:rPr>
          <w:bCs/>
          <w:b/>
        </w:rPr>
        <w:t xml:space="preserve">Housing Stability Plan:</w:t>
      </w:r>
      <w:r>
        <w:t xml:space="preserve">: Assisting the family in applying for "social rent" adjustments or transitional housing if their current communal living situation remains untenable, exploring options within the broader Moscow housing queue.</w:t>
      </w:r>
    </w:p>
    <w:bookmarkEnd w:id="28"/>
    <w:bookmarkEnd w:id="29"/>
    <w:bookmarkStart w:id="30" w:name="challenges-and-ethical-considerations"/>
    <w:p>
      <w:pPr>
        <w:pStyle w:val="Heading2"/>
      </w:pPr>
      <w:r>
        <w:t xml:space="preserve">5. Challenges and Ethical Considerations</w:t>
      </w:r>
    </w:p>
    <w:p>
      <w:pPr>
        <w:pStyle w:val="FirstParagraph"/>
      </w:pPr>
      <w:r>
        <w:t xml:space="preserve">The</w:t>
      </w:r>
      <w:r>
        <w:t xml:space="preserve"> </w:t>
      </w:r>
      <w:r>
        <w:rPr>
          <w:bCs/>
          <w:b/>
        </w:rPr>
        <w:t xml:space="preserve">Social Worker</w:t>
      </w:r>
      <w:r>
        <w:t xml:space="preserve">: encountered several challenges typical of practice in</w:t>
      </w:r>
      <w:r>
        <w:t xml:space="preserve"> </w:t>
      </w:r>
      <w:r>
        <w:rPr>
          <w:bCs/>
          <w:b/>
        </w:rPr>
        <w:t xml:space="preserve">Russia Moscow</w:t>
      </w:r>
      <w:r>
        <w:t xml:space="preserve">:</w:t>
      </w:r>
    </w:p>
    <w:p>
      <w:pPr>
        <w:numPr>
          <w:ilvl w:val="0"/>
          <w:numId w:val="1005"/>
        </w:numPr>
        <w:pStyle w:val="Compact"/>
      </w:pPr>
      <w:r>
        <w:t xml:space="preserve">Bureaucratic Fragmentation:: Coordination between the Pension Fund, Social Protection Department, and local District Administration (</w:t>
      </w:r>
      <w:r>
        <w:rPr>
          <w:iCs/>
          <w:i/>
        </w:rPr>
        <w:t xml:space="preserve">Rайонная Администрация</w:t>
      </w:r>
      <w:r>
        <w:t xml:space="preserve">) was slow. The worker had to persistently follow up to ensure files were not lost.</w:t>
      </w:r>
    </w:p>
    <w:p>
      <w:pPr>
        <w:numPr>
          <w:ilvl w:val="0"/>
          <w:numId w:val="1005"/>
        </w:numPr>
        <w:pStyle w:val="Compact"/>
      </w:pPr>
      <w:r>
        <w:rPr>
          <w:bCs/>
          <w:b/>
        </w:rPr>
        <w:t xml:space="preserve">Digital Divide:</w:t>
      </w:r>
      <w:r>
        <w:t xml:space="preserve">: While Moscow is a digital hub, elderly clients like Alexei struggled with online portals. The social worker acted as a bridge, explaining digital processes in lay terms.</w:t>
      </w:r>
    </w:p>
    <w:p>
      <w:pPr>
        <w:numPr>
          <w:ilvl w:val="0"/>
          <w:numId w:val="1005"/>
        </w:numPr>
        <w:pStyle w:val="Compact"/>
      </w:pPr>
      <w:r>
        <w:t xml:space="preserve">Cultural Sensitivity:: Respect for authority and reluctance to complain about state services required the worker to build trust gradually. The family initially feared that seeking help would label them as "difficult" or "ungrateful."</w:t>
      </w:r>
    </w:p>
    <w:bookmarkEnd w:id="30"/>
    <w:bookmarkStart w:id="31" w:name="outcomes-and-evaluation"/>
    <w:p>
      <w:pPr>
        <w:pStyle w:val="Heading2"/>
      </w:pPr>
      <w:r>
        <w:t xml:space="preserve">6. Outcomes and Evaluation</w:t>
      </w:r>
    </w:p>
    <w:p>
      <w:pPr>
        <w:pStyle w:val="FirstParagraph"/>
      </w:pPr>
      <w:r>
        <w:br/>
      </w:r>
    </w:p>
    <w:p>
      <w:pPr>
        <w:pStyle w:val="BodyText"/>
      </w:pPr>
      <w:r>
        <w:t xml:space="preserve">Six months into the intervention, positive outcomes have been observed:</w:t>
      </w:r>
    </w:p>
    <w:p>
      <w:pPr>
        <w:numPr>
          <w:ilvl w:val="0"/>
          <w:numId w:val="1006"/>
        </w:numPr>
        <w:pStyle w:val="Compact"/>
      </w:pPr>
      <w:r>
        <w:t xml:space="preserve">All utility arrears have been cleared through a combination of backdated allowances and charitable aid.</w:t>
      </w:r>
    </w:p>
    <w:p>
      <w:pPr>
        <w:numPr>
          <w:ilvl w:val="0"/>
          <w:numId w:val="1006"/>
        </w:numPr>
        <w:pStyle w:val="Compact"/>
      </w:pPr>
      <w:r>
        <w:t xml:space="preserve">Natalia has secured part-time remote work in data entry, stabilizing household income.</w:t>
      </w:r>
    </w:p>
    <w:p>
      <w:pPr>
        <w:numPr>
          <w:ilvl w:val="0"/>
          <w:numId w:val="1006"/>
        </w:numPr>
        <w:pStyle w:val="Compact"/>
      </w:pPr>
      <w:r>
        <w:t xml:space="preserve">Dmitry’s grades have improved to '4' (Good), and he has joined the school chess club, reporting higher social engagement.</w:t>
      </w:r>
    </w:p>
    <w:p>
      <w:pPr>
        <w:numPr>
          <w:ilvl w:val="0"/>
          <w:numId w:val="1006"/>
        </w:numPr>
        <w:pStyle w:val="Compact"/>
      </w:pPr>
      <w:r>
        <w:t xml:space="preserve">Alexei’s blood pressure is better managed due to consistent medical supervision provided by the home-care assistant.</w:t>
      </w:r>
    </w:p>
    <w:bookmarkEnd w:id="31"/>
    <w:bookmarkStart w:id="32" w:name="conclusion"/>
    <w:p>
      <w:pPr>
        <w:pStyle w:val="Heading2"/>
      </w:pPr>
      <w:r>
        <w:t xml:space="preserve">7. Conclusion</w:t>
      </w:r>
    </w:p>
    <w:p>
      <w:pPr>
        <w:pStyle w:val="FirstParagraph"/>
      </w:pPr>
      <w:r>
        <w:t xml:space="preserve">This case study illustrates that effective social work in</w:t>
      </w:r>
      <w:r>
        <w:t xml:space="preserve"> </w:t>
      </w:r>
      <w:r>
        <w:rPr>
          <w:bCs/>
          <w:b/>
        </w:rPr>
        <w:t xml:space="preserve">Russia Moscow</w:t>
      </w:r>
      <w:r>
        <w:t xml:space="preserve">: requires a hybrid approach. It demands technical proficiency in navigating complex state digital infrastructures, deep knowledge of local municipal regulations, and cultural competence to address stigma around mental health and dependency. For the</w:t>
      </w:r>
      <w:r>
        <w:t xml:space="preserve"> </w:t>
      </w:r>
      <w:r>
        <w:rPr>
          <w:bCs/>
          <w:b/>
        </w:rPr>
        <w:t xml:space="preserve">Social Worker</w:t>
      </w:r>
      <w:r>
        <w:t xml:space="preserve">, the role is not merely that of a service provider but also of a navigator and advocate within a rigid administrative system. The successful intervention with the Volkov family demonstrates that even in high-cost urban environments facing economic pressure, integrated support systems can restore stability and foster resilience among vulnerable populations.</w:t>
      </w:r>
    </w:p>
    <w:p>
      <w:pPr>
        <w:pStyle w:val="BodyText"/>
      </w:pPr>
      <w:r>
        <w:t xml:space="preserve">Future recommendations include increased advocacy for streamlined inter-agency data sharing between Moscow’s social services to reduce the burden on clients and further integration of community NGOs into official state safety nets.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2026-07-29T03:31:14Z</dcterms:created>
  <dcterms:modified xsi:type="dcterms:W3CDTF">2026-07-29T03:31:14Z</dcterms:modified>
</cp:coreProperties>
</file>

<file path=docProps/custom.xml><?xml version="1.0" encoding="utf-8"?>
<Properties xmlns="http://schemas.openxmlformats.org/officeDocument/2006/custom-properties" xmlns:vt="http://schemas.openxmlformats.org/officeDocument/2006/docPropsVTypes"/>
</file>