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5" w:name="X0c79117e2db866655514ca4bf26120ccbe8e597"/>
    <w:p>
      <w:pPr>
        <w:pStyle w:val="Heading1"/>
      </w:pPr>
      <w:r>
        <w:t xml:space="preserve">Case Study: Integrated Social Work Intervention in South Africa, Cape Town</w:t>
      </w:r>
    </w:p>
    <w:p>
      <w:pPr>
        <w:pStyle w:val="FirstParagraph"/>
      </w:pPr>
      <w:r>
        <w:rPr>
          <w:bCs/>
          <w:b/>
        </w:rPr>
        <w:t xml:space="preserve">Date:</w:t>
      </w:r>
      <w:r>
        <w:t xml:space="preserve"> </w:t>
      </w:r>
      <w:r>
        <w:t xml:space="preserve">October 2023</w:t>
      </w:r>
      <w:r>
        <w:br/>
      </w:r>
      <w:r>
        <w:rPr>
          <w:bCs/>
          <w:b/>
        </w:rPr>
        <w:t xml:space="preserve">Jurisdiction:</w:t>
      </w:r>
    </w:p>
    <w:p>
      <w:pPr>
        <w:pStyle w:val="BodyText"/>
      </w:pPr>
      <w:r>
        <w:t xml:space="preserve">Facility:** District Six Community Health Centre</w:t>
      </w:r>
    </w:p>
    <w:bookmarkStart w:id="20" w:name="introduction-and-contextual-background"/>
    <w:p>
      <w:pPr>
        <w:pStyle w:val="Heading2"/>
      </w:pPr>
      <w:r>
        <w:t xml:space="preserve">1. Introduction and Contextual Background</w:t>
      </w:r>
    </w:p>
    <w:p>
      <w:pPr>
        <w:pStyle w:val="FirstParagraph"/>
      </w:pPr>
      <w:r>
        <w:t xml:space="preserve">This Case Study examines the complex dynamics of modern social work within the specific socio-economic landscape of</w:t>
      </w:r>
      <w:r>
        <w:t xml:space="preserve"> </w:t>
      </w:r>
      <w:r>
        <w:rPr>
          <w:bCs/>
          <w:b/>
        </w:rPr>
        <w:t xml:space="preserve">South Africa, Cape Town</w:t>
      </w:r>
      <w:r>
        <w:t xml:space="preserve">. The Western Cape is characterized by a stark paradox: it is home to significant economic growth and tourism infrastructure, yet it harbors some of the highest rates of inequality in the world. In this context, a</w:t>
      </w:r>
      <w:r>
        <w:t xml:space="preserve"> </w:t>
      </w:r>
      <w:r>
        <w:rPr>
          <w:bCs/>
          <w:b/>
        </w:rPr>
        <w:t xml:space="preserve">Social Worker</w:t>
      </w:r>
      <w:r>
        <w:t xml:space="preserve"> </w:t>
      </w:r>
      <w:r>
        <w:t xml:space="preserve">operates not merely as a counselor but as a critical bridge between marginalized communities and state resources.</w:t>
      </w:r>
    </w:p>
    <w:p>
      <w:pPr>
        <w:pStyle w:val="BodyText"/>
      </w:pPr>
      <w:r>
        <w:t xml:space="preserve">The focus of this case is "Thabo," a 14-year-old male resident of Khayelitsha, one of Africa's largest informal settlements on the Cape Flats. Thabo’s case illustrates the intersectionality of poverty, substance abuse, educational neglect, and family violence. The intervention strategy employed by his assigned</w:t>
      </w:r>
      <w:r>
        <w:t xml:space="preserve"> </w:t>
      </w:r>
      <w:r>
        <w:rPr>
          <w:bCs/>
          <w:b/>
        </w:rPr>
        <w:t xml:space="preserve">Social Worker</w:t>
      </w:r>
      <w:r>
        <w:t xml:space="preserve"> </w:t>
      </w:r>
      <w:r>
        <w:t xml:space="preserve">highlights the necessary adaptability required to navigate systemic challenges in</w:t>
      </w:r>
      <w:r>
        <w:t xml:space="preserve"> </w:t>
      </w:r>
      <w:r>
        <w:rPr>
          <w:bCs/>
          <w:b/>
        </w:rPr>
        <w:t xml:space="preserve">South Africa, Cape Town</w:t>
      </w:r>
      <w:r>
        <w:t xml:space="preserve">.</w:t>
      </w:r>
    </w:p>
    <w:bookmarkEnd w:id="20"/>
    <w:bookmarkStart w:id="21" w:name="case-presentation-thabos-profile"/>
    <w:p>
      <w:pPr>
        <w:pStyle w:val="Heading2"/>
      </w:pPr>
      <w:r>
        <w:t xml:space="preserve">2. Case Presentation: Thabo’s Profile</w:t>
      </w:r>
    </w:p>
    <w:p>
      <w:pPr>
        <w:pStyle w:val="FirstParagraph"/>
      </w:pPr>
      <w:r>
        <w:rPr>
          <w:bCs/>
          <w:b/>
        </w:rPr>
        <w:t xml:space="preserve">Presentation:</w:t>
      </w:r>
    </w:p>
    <w:p>
      <w:pPr>
        <w:numPr>
          <w:ilvl w:val="0"/>
          <w:numId w:val="1001"/>
        </w:numPr>
        <w:pStyle w:val="Compact"/>
      </w:pPr>
      <w:r>
        <w:rPr>
          <w:bCs/>
          <w:b/>
        </w:rPr>
        <w:t xml:space="preserve">Name:</w:t>
      </w:r>
      <w:r>
        <w:t xml:space="preserve"> </w:t>
      </w:r>
      <w:r>
        <w:t xml:space="preserve">Thabo (Pseudonym)</w:t>
      </w:r>
    </w:p>
    <w:p>
      <w:pPr>
        <w:numPr>
          <w:ilvl w:val="0"/>
          <w:numId w:val="1001"/>
        </w:numPr>
        <w:pStyle w:val="Compact"/>
      </w:pPr>
      <w:r>
        <w:rPr>
          <w:bCs/>
          <w:b/>
        </w:rPr>
        <w:t xml:space="preserve">Date of Birth:</w:t>
      </w:r>
      <w:r>
        <w:t xml:space="preserve"> </w:t>
      </w:r>
      <w:r>
        <w:t xml:space="preserve">15 May 2009</w:t>
      </w:r>
    </w:p>
    <w:p>
      <w:pPr>
        <w:numPr>
          <w:ilvl w:val="0"/>
          <w:numId w:val="1001"/>
        </w:numPr>
        <w:pStyle w:val="Compact"/>
      </w:pPr>
      <w:r>
        <w:rPr>
          <w:bCs/>
          <w:b/>
        </w:rPr>
        <w:t xml:space="preserve">Clinical History:</w:t>
      </w:r>
      <w:r>
        <w:t xml:space="preserve">Brought to the clinic by his grandmother, Nomsa. Police involvement due to loitering near a school with suspected drug paraphernalia.</w:t>
      </w:r>
    </w:p>
    <w:p>
      <w:pPr>
        <w:numPr>
          <w:ilvl w:val="0"/>
          <w:numId w:val="1001"/>
        </w:numPr>
        <w:pStyle w:val="Compact"/>
      </w:pPr>
      <w:r>
        <w:rPr>
          <w:bCs/>
          <w:b/>
        </w:rPr>
        <w:t xml:space="preserve">Socio-Economic Status:</w:t>
      </w:r>
      <w:r>
        <w:t xml:space="preserve"> </w:t>
      </w:r>
      <w:r>
        <w:t xml:space="preserve">Low income. Household relies on Child Support Grants and SASSA old age pension (paid to Grandmother).</w:t>
      </w:r>
    </w:p>
    <w:p>
      <w:pPr>
        <w:numPr>
          <w:ilvl w:val="0"/>
          <w:numId w:val="1001"/>
        </w:numPr>
        <w:pStyle w:val="Compact"/>
      </w:pPr>
      <w:r>
        <w:rPr>
          <w:bCs/>
          <w:b/>
        </w:rPr>
        <w:t xml:space="preserve">Educational Status:</w:t>
      </w:r>
      <w:r>
        <w:t xml:space="preserve"> </w:t>
      </w:r>
      <w:r>
        <w:t xml:space="preserve">Expelled from Grade 8 two years prior due to truancy and aggression. Currently not enrolled.</w:t>
      </w:r>
    </w:p>
    <w:p>
      <w:pPr>
        <w:pStyle w:val="FirstParagraph"/>
      </w:pPr>
      <w:r>
        <w:t xml:space="preserve">The primary presenting problem is substance dependency (Tik/Galah, a crystal methamphetamine common in Cape Town townships), coupled with absenteeism from school and exposure to domestic violence within the extended family structure.</w:t>
      </w:r>
    </w:p>
    <w:bookmarkEnd w:id="21"/>
    <w:bookmarkStart w:id="25" w:name="assessment-framework"/>
    <w:p>
      <w:pPr>
        <w:pStyle w:val="Heading2"/>
      </w:pPr>
      <w:r>
        <w:t xml:space="preserve">3. Assessment Framework</w:t>
      </w:r>
    </w:p>
    <w:p>
      <w:pPr>
        <w:pStyle w:val="FirstParagraph"/>
      </w:pPr>
      <w:r>
        <w:t xml:space="preserve">The</w:t>
      </w:r>
      <w:r>
        <w:t xml:space="preserve"> </w:t>
      </w:r>
      <w:r>
        <w:rPr>
          <w:bCs/>
          <w:b/>
        </w:rPr>
        <w:t xml:space="preserve">Social Worker</w:t>
      </w:r>
      <w:r>
        <w:t xml:space="preserve"> </w:t>
      </w:r>
      <w:r>
        <w:t xml:space="preserve">utilized an ecological systems theory approach, recognizing that Thabo’s issues cannot be isolated from his environment. In</w:t>
      </w:r>
      <w:r>
        <w:t xml:space="preserve"> </w:t>
      </w:r>
      <w:r>
        <w:rPr>
          <w:bCs/>
          <w:b/>
        </w:rPr>
        <w:t xml:space="preserve">South Africa, Cape Town</w:t>
      </w:r>
      <w:r>
        <w:t xml:space="preserve">, the historical legacy of apartheid continues to impact spatial planning and resource distribution.</w:t>
      </w:r>
    </w:p>
    <w:bookmarkStart w:id="22" w:name="a.-micro-system-individual"/>
    <w:p>
      <w:pPr>
        <w:pStyle w:val="Heading3"/>
      </w:pPr>
      <w:r>
        <w:t xml:space="preserve">A. Micro System (Individual)</w:t>
      </w:r>
    </w:p>
    <w:bookmarkEnd w:id="22"/>
    <w:bookmarkStart w:id="23" w:name="b.-mezzo-system-familycommunity"/>
    <w:p>
      <w:pPr>
        <w:pStyle w:val="Heading3"/>
      </w:pPr>
      <w:r>
        <w:t xml:space="preserve">B. Mezzo System (Family/Community)</w:t>
      </w:r>
    </w:p>
    <w:p>
      <w:pPr>
        <w:pStyle w:val="FirstParagraph"/>
      </w:pPr>
      <w:r>
        <w:t xml:space="preserve">The family unit is fragmented. Thabo lives with his grandmother and two younger siblings. His parents are absent; his father is incarcerated, and his mother is a transient user of rehabilitation centers in the Cape Flats area. Community safety is a major concern, with gang violence prevalent in the immediate vicinity.</w:t>
      </w:r>
    </w:p>
    <w:bookmarkEnd w:id="23"/>
    <w:bookmarkStart w:id="24" w:name="c.-macro-system-statepolicy"/>
    <w:p>
      <w:pPr>
        <w:pStyle w:val="Heading3"/>
      </w:pPr>
      <w:r>
        <w:t xml:space="preserve">C. Macro System (State/Policy)</w:t>
      </w:r>
    </w:p>
    <w:p>
      <w:pPr>
        <w:pStyle w:val="FirstParagraph"/>
      </w:pPr>
      <w:r>
        <w:t xml:space="preserve">The</w:t>
      </w:r>
      <w:r>
        <w:t xml:space="preserve"> </w:t>
      </w:r>
      <w:r>
        <w:rPr>
          <w:bCs/>
          <w:b/>
        </w:rPr>
        <w:t xml:space="preserve">Social Worker</w:t>
      </w:r>
      <w:r>
        <w:t xml:space="preserve"> </w:t>
      </w:r>
      <w:r>
        <w:t xml:space="preserve">assessed the availability of state support mechanisms. While South Africa has robust legislation like the Child Care Act and the National Development Plan 2030, implementation gaps remain in rural and peri-urban areas.</w:t>
      </w:r>
    </w:p>
    <w:bookmarkEnd w:id="24"/>
    <w:bookmarkEnd w:id="25"/>
    <w:bookmarkStart w:id="30" w:name="intervention-strategy"/>
    <w:p>
      <w:pPr>
        <w:pStyle w:val="Heading2"/>
      </w:pPr>
      <w:r>
        <w:t xml:space="preserve">4. Intervention Strategy</w:t>
      </w:r>
    </w:p>
    <w:p>
      <w:pPr>
        <w:pStyle w:val="FirstParagraph"/>
      </w:pPr>
      <w:r>
        <w:t xml:space="preserve">The intervention was multi-phased, designed to stabilize Thabo’s immediate safety before addressing long-term rehabilitation.</w:t>
      </w:r>
    </w:p>
    <w:bookmarkStart w:id="26" w:name="X11c1c08e42e58096f0bff18afd6f079cc07faab"/>
    <w:p>
      <w:pPr>
        <w:pStyle w:val="Heading3"/>
      </w:pPr>
      <w:r>
        <w:t xml:space="preserve">Phase 1: Crisis Intervention and Safety Planning</w:t>
      </w:r>
    </w:p>
    <w:p>
      <w:pPr>
        <w:pStyle w:val="FirstParagraph"/>
      </w:pPr>
      <w:r>
        <w:t xml:space="preserve">The first action taken by the</w:t>
      </w:r>
      <w:r>
        <w:t xml:space="preserve"> </w:t>
      </w:r>
      <w:r>
        <w:rPr>
          <w:bCs/>
          <w:b/>
        </w:rPr>
        <w:t xml:space="preserve">Social Worker</w:t>
      </w:r>
      <w:r>
        <w:t xml:space="preserve"> </w:t>
      </w:r>
      <w:r>
        <w:t xml:space="preserve">was to secure a safe living environment. Given the violence in the home, a risk assessment determined that Thabo needed temporary respite care. However, family preservation is a priority in South African social work practice where possible. Therefore, negotiations were held with extended family members (an uncle residing in Mitchells Plain) willing to take Thabo temporarily while his grandmother underwent counseling.</w:t>
      </w:r>
    </w:p>
    <w:bookmarkEnd w:id="26"/>
    <w:bookmarkStart w:id="27" w:name="phase-2-educational-reintegration"/>
    <w:p>
      <w:pPr>
        <w:pStyle w:val="Heading3"/>
      </w:pPr>
      <w:r>
        <w:t xml:space="preserve">Phase 2: Educational Reintegration</w:t>
      </w:r>
    </w:p>
    <w:p>
      <w:pPr>
        <w:pStyle w:val="FirstParagraph"/>
      </w:pPr>
      <w:r>
        <w:t xml:space="preserve">In</w:t>
      </w:r>
      <w:r>
        <w:t xml:space="preserve"> </w:t>
      </w:r>
      <w:r>
        <w:rPr>
          <w:bCs/>
          <w:b/>
        </w:rPr>
        <w:t xml:space="preserve">South Africa, Cape Town</w:t>
      </w:r>
      <w:r>
        <w:t xml:space="preserve">, the barrier to re-entering the education system for dropouts is significant. The</w:t>
      </w:r>
      <w:r>
        <w:t xml:space="preserve"> </w:t>
      </w:r>
      <w:r>
        <w:rPr>
          <w:bCs/>
          <w:b/>
        </w:rPr>
        <w:t xml:space="preserve">Social Worker</w:t>
      </w:r>
      <w:r>
        <w:t xml:space="preserve"> </w:t>
      </w:r>
      <w:r>
        <w:t xml:space="preserve">liaised with the Western Cape Education Department (WCED) to identify a school that offered remedial support and vocational training rather than just academic curriculum. Thabo was enrolled in a technical vocational education and training (TVET) pathway focused on carpentry, leveraging his interest in building.</w:t>
      </w:r>
    </w:p>
    <w:bookmarkEnd w:id="27"/>
    <w:bookmarkStart w:id="28" w:name="phase-3-substance-abuse-treatment"/>
    <w:p>
      <w:pPr>
        <w:pStyle w:val="Heading3"/>
      </w:pPr>
      <w:r>
        <w:t xml:space="preserve">Phase 3: Substance Abuse Treatment</w:t>
      </w:r>
    </w:p>
    <w:p>
      <w:pPr>
        <w:pStyle w:val="FirstParagraph"/>
      </w:pPr>
      <w:r>
        <w:t xml:space="preserve">The</w:t>
      </w:r>
      <w:r>
        <w:t xml:space="preserve"> </w:t>
      </w:r>
      <w:r>
        <w:rPr>
          <w:bCs/>
          <w:b/>
        </w:rPr>
        <w:t xml:space="preserve">Social Worker</w:t>
      </w:r>
      <w:r>
        <w:t xml:space="preserve"> </w:t>
      </w:r>
      <w:r>
        <w:t xml:space="preserve">facilitated access to "The Cape Town Drug Court" diversion program. This involved mandatory attendance at a local rehabilitation center twice weekly and regular drug screenings. The worker also connected the grandmother with community support groups, such as Al-Anon, to help her manage caregiver stress.</w:t>
      </w:r>
    </w:p>
    <w:bookmarkEnd w:id="28"/>
    <w:bookmarkStart w:id="29" w:name="phase-4-economic-empowerment"/>
    <w:p>
      <w:pPr>
        <w:pStyle w:val="Heading3"/>
      </w:pPr>
      <w:r>
        <w:t xml:space="preserve">Phase 4: Economic Empowerment</w:t>
      </w:r>
    </w:p>
    <w:p>
      <w:pPr>
        <w:pStyle w:val="FirstParagraph"/>
      </w:pPr>
      <w:r>
        <w:t xml:space="preserve">To reduce financial strain, the</w:t>
      </w:r>
      <w:r>
        <w:t xml:space="preserve"> </w:t>
      </w:r>
      <w:r>
        <w:rPr>
          <w:bCs/>
          <w:b/>
        </w:rPr>
        <w:t xml:space="preserve">Social Worker</w:t>
      </w:r>
      <w:r>
        <w:t xml:space="preserve">, a key aspect of practice in</w:t>
      </w:r>
      <w:r>
        <w:t xml:space="preserve"> </w:t>
      </w:r>
      <w:r>
        <w:rPr>
          <w:bCs/>
          <w:b/>
        </w:rPr>
        <w:t xml:space="preserve">South Africa, Cape Town</w:t>
      </w:r>
      <w:r>
        <w:t xml:space="preserve">, assisted the grandmother in applying for additional grants and linked them to local non-governmental organizations (NGOs) that provide food parcels and school uniforms.</w:t>
      </w:r>
    </w:p>
    <w:bookmarkEnd w:id="29"/>
    <w:bookmarkEnd w:id="30"/>
    <w:bookmarkStart w:id="31" w:name="challenges-encountered"/>
    <w:p>
      <w:pPr>
        <w:pStyle w:val="Heading2"/>
      </w:pPr>
      <w:r>
        <w:t xml:space="preserve">5. Challenges Encountered</w:t>
      </w:r>
    </w:p>
    <w:p>
      <w:pPr>
        <w:pStyle w:val="FirstParagraph"/>
      </w:pPr>
      <w:r>
        <w:t xml:space="preserve">The case study highlights several systemic challenges faced by the</w:t>
      </w:r>
      <w:r>
        <w:t xml:space="preserve"> </w:t>
      </w:r>
      <w:r>
        <w:rPr>
          <w:bCs/>
          <w:b/>
        </w:rPr>
        <w:t xml:space="preserve">Social Worker</w:t>
      </w:r>
      <w:r>
        <w:t xml:space="preserve">:</w:t>
      </w:r>
    </w:p>
    <w:p>
      <w:pPr>
        <w:numPr>
          <w:ilvl w:val="0"/>
          <w:numId w:val="1002"/>
        </w:numPr>
        <w:pStyle w:val="Compact"/>
      </w:pPr>
      <w:r>
        <w:rPr>
          <w:bCs/>
          <w:b/>
        </w:rPr>
        <w:t xml:space="preserve">Bureaucratic Delays:</w:t>
      </w:r>
      <w:r>
        <w:t xml:space="preserve">Paperwork for grant applications and school re-enrollment often takes weeks due to under-resourced government offices.</w:t>
      </w:r>
    </w:p>
    <w:p>
      <w:pPr>
        <w:numPr>
          <w:ilvl w:val="0"/>
          <w:numId w:val="1002"/>
        </w:numPr>
        <w:pStyle w:val="Compact"/>
      </w:pPr>
      <w:r>
        <w:rPr>
          <w:bCs/>
          <w:b/>
        </w:rPr>
        <w:t xml:space="preserve">Resource Scarcity:</w:t>
      </w:r>
      <w:r>
        <w:t xml:space="preserve">Limited beds in rehabilitation centers mean that referrals sometimes have to be turned away, forcing the</w:t>
      </w:r>
      <w:r>
        <w:t xml:space="preserve"> </w:t>
      </w:r>
      <w:r>
        <w:rPr>
          <w:bCs/>
          <w:b/>
        </w:rPr>
        <w:t xml:space="preserve">Social Worker</w:t>
      </w:r>
      <w:r>
        <w:t xml:space="preserve"> </w:t>
      </w:r>
      <w:r>
        <w:t xml:space="preserve">to rely on informal community networks for support.</w:t>
      </w:r>
    </w:p>
    <w:p>
      <w:pPr>
        <w:numPr>
          <w:ilvl w:val="0"/>
          <w:numId w:val="1002"/>
        </w:numPr>
        <w:pStyle w:val="Compact"/>
      </w:pPr>
      <w:r>
        <w:rPr>
          <w:bCs/>
          <w:b/>
        </w:rPr>
        <w:t xml:space="preserve">Cultural Nuances:</w:t>
      </w:r>
      <w:r>
        <w:t xml:space="preserve">Navigating traditional beliefs about healing versus clinical psychology required sensitive cultural competence from the practitioner.</w:t>
      </w:r>
    </w:p>
    <w:bookmarkEnd w:id="31"/>
    <w:bookmarkStart w:id="32" w:name="outcomes-and-evaluation"/>
    <w:p>
      <w:pPr>
        <w:pStyle w:val="Heading2"/>
      </w:pPr>
      <w:r>
        <w:t xml:space="preserve">6. Outcomes and Evaluation</w:t>
      </w:r>
    </w:p>
    <w:p>
      <w:pPr>
        <w:pStyle w:val="FirstParagraph"/>
      </w:pPr>
      <w:r>
        <w:t xml:space="preserve">Six months post-intervention, the outcomes were positive but fragile:</w:t>
      </w:r>
    </w:p>
    <w:p>
      <w:pPr>
        <w:numPr>
          <w:ilvl w:val="0"/>
          <w:numId w:val="1003"/>
        </w:numPr>
        <w:pStyle w:val="Compact"/>
      </w:pPr>
      <w:r>
        <w:rPr>
          <w:bCs/>
          <w:b/>
        </w:rPr>
        <w:t xml:space="preserve">Sobriety:</w:t>
      </w:r>
      <w:r>
        <w:t xml:space="preserve"> Thabo has remained drug-free for 140 days, confirmed by regular screenings.</w:t>
      </w:r>
    </w:p>
    <w:p>
      <w:pPr>
        <w:numPr>
          <w:ilvl w:val="0"/>
          <w:numId w:val="1003"/>
        </w:numPr>
        <w:pStyle w:val="Compact"/>
      </w:pPr>
      <w:r>
        <w:rPr>
          <w:bCs/>
          <w:b/>
        </w:rPr>
        <w:t xml:space="preserve">Educational Progress:</w:t>
      </w:r>
      <w:r>
        <w:t xml:space="preserve"> He has re-enrolled in school and shows improved attendance. He recently won a minor award for his carpentry project.</w:t>
      </w:r>
    </w:p>
    <w:p>
      <w:pPr>
        <w:numPr>
          <w:ilvl w:val="0"/>
          <w:numId w:val="1003"/>
        </w:numPr>
        <w:pStyle w:val="Compact"/>
      </w:pPr>
      <w:r>
        <w:rPr>
          <w:bCs/>
          <w:b/>
        </w:rPr>
        <w:t xml:space="preserve">Family Stability:</w:t>
      </w:r>
      <w:r>
        <w:t xml:space="preserve"> Thabo returned to live with his grandmother full-time as the uncle’s situation changed. The grandmother reports feeling more supported and less isolated.</w:t>
      </w:r>
    </w:p>
    <w:bookmarkEnd w:id="32"/>
    <w:bookmarkStart w:id="33" w:name="discussion-and-recommendations"/>
    <w:p>
      <w:pPr>
        <w:pStyle w:val="Heading2"/>
      </w:pPr>
      <w:r>
        <w:t xml:space="preserve">7. Discussion and Recommendations</w:t>
      </w:r>
    </w:p>
    <w:p>
      <w:pPr>
        <w:pStyle w:val="FirstParagraph"/>
      </w:pPr>
      <w:r>
        <w:t xml:space="preserve">This case study underscores the vital role of the</w:t>
      </w:r>
      <w:r>
        <w:t xml:space="preserve"> </w:t>
      </w:r>
      <w:r>
        <w:rPr>
          <w:bCs/>
          <w:b/>
        </w:rPr>
        <w:t xml:space="preserve">Social Worker</w:t>
      </w:r>
      <w:r>
        <w:t xml:space="preserve"> </w:t>
      </w:r>
      <w:r>
        <w:t xml:space="preserve">in mitigating the effects of systemic poverty in</w:t>
      </w:r>
      <w:r>
        <w:t xml:space="preserve"> </w:t>
      </w:r>
      <w:r>
        <w:rPr>
          <w:bCs/>
          <w:b/>
        </w:rPr>
        <w:t xml:space="preserve">South Africa, Cape Town</w:t>
      </w:r>
      <w:r>
        <w:t xml:space="preserve">. The intervention was successful because it was holistic, addressing not just the individual’s addiction but also his educational needs and his family’s economic stability.</w:t>
      </w:r>
    </w:p>
    <w:p>
      <w:pPr>
        <w:pStyle w:val="BodyText"/>
      </w:pPr>
      <w:r>
        <w:rPr>
          <w:bCs/>
          <w:b/>
        </w:rPr>
        <w:t xml:space="preserve">Recommendations for Future Practice:</w:t>
      </w:r>
    </w:p>
    <w:p>
      <w:pPr>
        <w:numPr>
          <w:ilvl w:val="0"/>
          <w:numId w:val="1004"/>
        </w:numPr>
        <w:pStyle w:val="Compact"/>
      </w:pPr>
      <w:r>
        <w:rPr>
          <w:bCs/>
          <w:b/>
        </w:rPr>
        <w:t xml:space="preserve">School-Based Social Work:</w:t>
      </w:r>
      <w:r>
        <w:t xml:space="preserve"> Increasing the number of social workers within schools in high-risk areas like Khayelitsha could allow for earlier intervention before crises escalate.</w:t>
      </w:r>
    </w:p>
    <w:p>
      <w:pPr>
        <w:numPr>
          <w:ilvl w:val="0"/>
          <w:numId w:val="1004"/>
        </w:numPr>
        <w:pStyle w:val="Compact"/>
      </w:pPr>
      <w:r>
        <w:rPr>
          <w:bCs/>
          <w:b/>
        </w:rPr>
        <w:t xml:space="preserve">Digital Integration:</w:t>
      </w:r>
      <w:r>
        <w:t xml:space="preserve"> Utilizing mobile technology to track client progress and grant status can reduce administrative burdens on both clients and</w:t>
      </w:r>
      <w:r>
        <w:t xml:space="preserve"> </w:t>
      </w:r>
      <w:r>
        <w:rPr>
          <w:bCs/>
          <w:b/>
        </w:rPr>
        <w:t xml:space="preserve">Social Workers</w:t>
      </w:r>
      <w:r>
        <w:t xml:space="preserve">.</w:t>
      </w:r>
    </w:p>
    <w:p>
      <w:pPr>
        <w:numPr>
          <w:ilvl w:val="0"/>
          <w:numId w:val="1004"/>
        </w:numPr>
        <w:pStyle w:val="Compact"/>
      </w:pPr>
      <w:r>
        <w:rPr>
          <w:bCs/>
          <w:b/>
        </w:rPr>
        <w:t xml:space="preserve">Community Partnerships:</w:t>
      </w:r>
      <w:r>
        <w:t xml:space="preserve"> Strengthening partnerships between the Department of Social Development, local NGOs, and faith-based organizations is essential to fill service delivery gaps in</w:t>
      </w:r>
      <w:r>
        <w:t xml:space="preserve"> </w:t>
      </w:r>
      <w:r>
        <w:rPr>
          <w:bCs/>
          <w:b/>
        </w:rPr>
        <w:t xml:space="preserve">South Africa, Cape Town</w:t>
      </w:r>
      <w:r>
        <w:t xml:space="preserve">.</w:t>
      </w:r>
    </w:p>
    <w:bookmarkEnd w:id="33"/>
    <w:bookmarkStart w:id="34" w:name="conclusion"/>
    <w:p>
      <w:pPr>
        <w:pStyle w:val="Heading2"/>
      </w:pPr>
      <w:r>
        <w:t xml:space="preserve">8. Conclusion</w:t>
      </w:r>
    </w:p>
    <w:p>
      <w:pPr>
        <w:pStyle w:val="FirstParagraph"/>
      </w:pPr>
      <w:r>
        <w:t xml:space="preserve">The case of Thabo demonstrates that effective social work in</w:t>
      </w:r>
      <w:r>
        <w:t xml:space="preserve"> </w:t>
      </w:r>
      <w:r>
        <w:rPr>
          <w:bCs/>
          <w:b/>
        </w:rPr>
        <w:t xml:space="preserve">South Africa, Cape Town</w:t>
      </w:r>
      <w:r>
        <w:t xml:space="preserve">, requires resilience, cultural sensitivity, and a strong advocacy skill set. The</w:t>
      </w:r>
      <w:r>
        <w:t xml:space="preserve"> </w:t>
      </w:r>
      <w:r>
        <w:rPr>
          <w:bCs/>
          <w:b/>
        </w:rPr>
        <w:t xml:space="preserve">Social Worker</w:t>
      </w:r>
      <w:r>
        <w:t xml:space="preserve"> acts as a linchpin in the support system for vulnerable children. While structural challenges remain profound, targeted interventions can alter life trajectories. This case study serves as a testament to the potential of community-centered social work when aligned with available state and NGO resources.</w:t>
      </w:r>
    </w:p>
    <w:p>
      <w:r>
        <w:pict>
          <v:rect style="width:0;height:1.5pt" o:hralign="center" o:hrstd="t" o:hr="t"/>
        </w:pict>
      </w:r>
    </w:p>
    <w:p>
      <w:pPr>
        <w:pStyle w:val="FirstParagraph"/>
      </w:pPr>
      <w:r>
        <w:rPr>
          <w:iCs/>
          <w:i/>
        </w:rPr>
        <w:t xml:space="preserve">Disclaimer: Names and identifying details have been altered to protect client confidentiality in accordance with the International Federation of Social Workers (IFSW) ethics code.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Social Work Intervention in South Africa, Cape Town</dc:title>
  <dc:creator/>
  <dc:language>en</dc:language>
  <cp:keywords/>
  <dcterms:created xsi:type="dcterms:W3CDTF">2026-07-29T12:27:27Z</dcterms:created>
  <dcterms:modified xsi:type="dcterms:W3CDTF">2026-07-29T12:27:27Z</dcterms:modified>
</cp:coreProperties>
</file>

<file path=docProps/custom.xml><?xml version="1.0" encoding="utf-8"?>
<Properties xmlns="http://schemas.openxmlformats.org/officeDocument/2006/custom-properties" xmlns:vt="http://schemas.openxmlformats.org/officeDocument/2006/docPropsVTypes"/>
</file>