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p>
    <w:bookmarkStart w:id="31" w:name="X5884ae65b16d0095048dea0fd0bdb793ce783aa"/>
    <w:p>
      <w:pPr>
        <w:pStyle w:val="Heading1"/>
      </w:pPr>
      <w:r>
        <w:t xml:space="preserve">Tech Turbulence in the Skyline: A Case Study on Scaling a Fintech Platform in United States New York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New York City</w:t>
      </w:r>
      <w:r>
        <w:br/>
      </w:r>
      <w:r>
        <w:rPr>
          <w:bCs/>
          <w:b/>
        </w:rPr>
        <w:t xml:space="preserve">Subject:</w:t>
      </w:r>
      <w:r>
        <w:t xml:space="preserve">The Architecture of Resilience: A</w:t>
      </w:r>
      <w:r>
        <w:t xml:space="preserve"> </w:t>
      </w:r>
      <w:r>
        <w:rPr>
          <w:iCs/>
          <w:i/>
        </w:rPr>
        <w:t xml:space="preserve">Case Study</w:t>
      </w:r>
    </w:p>
    <w:bookmarkStart w:id="20" w:name="executive-summary"/>
    <w:p>
      <w:pPr>
        <w:pStyle w:val="Heading2"/>
      </w:pPr>
      <w:r>
        <w:t xml:space="preserve">1. Executive Summary</w:t>
      </w:r>
    </w:p>
    <w:p>
      <w:pPr>
        <w:pStyle w:val="FirstParagraph"/>
      </w:pPr>
      <w:r>
        <w:t xml:space="preserve">In the dynamic and high-stakes environment of</w:t>
      </w:r>
      <w:r>
        <w:t xml:space="preserve"> </w:t>
      </w:r>
      <w:r>
        <w:rPr>
          <w:bCs/>
          <w:b/>
        </w:rPr>
        <w:t xml:space="preserve">United States New York City</w:t>
      </w:r>
      <w:r>
        <w:t xml:space="preserve">, financial technology companies operate under intense scrutiny and pressure. This document serves as a comprehensive</w:t>
      </w:r>
      <w:r>
        <w:t xml:space="preserve"> </w:t>
      </w:r>
      <w:r>
        <w:rPr>
          <w:iCs/>
          <w:i/>
        </w:rPr>
        <w:t xml:space="preserve">Case Study</w:t>
      </w:r>
      <w:r>
        <w:t xml:space="preserve"> </w:t>
      </w:r>
      <w:r>
        <w:t xml:space="preserve">detailing the digital transformation journey of "ApexLedger," a mid-sized fintech startup headquartered in Manhattan. The primary objective of this analysis is to examine how a dedicated team of</w:t>
      </w:r>
      <w:r>
        <w:t xml:space="preserve"> </w:t>
      </w:r>
      <w:r>
        <w:rPr>
          <w:bCs/>
          <w:b/>
        </w:rPr>
        <w:t xml:space="preserve">Software Engineers</w:t>
      </w:r>
      <w:r>
        <w:t xml:space="preserve"> </w:t>
      </w:r>
      <w:r>
        <w:t xml:space="preserve">navigated technical debt, regulatory compliance, and rapid scaling challenges to build a robust financial infrastructure. By focusing on the intersection of advanced engineering practices and the unique constraints of the New York market, we illustrate how modern software development methodologies can drive business continuity and competitive advantage.</w:t>
      </w:r>
    </w:p>
    <w:bookmarkEnd w:id="20"/>
    <w:bookmarkStart w:id="21" w:name="X17712ca76e0a985b97da277151ba4e743f5ed2e"/>
    <w:p>
      <w:pPr>
        <w:pStyle w:val="Heading2"/>
      </w:pPr>
      <w:r>
        <w:t xml:space="preserve">2. Company Background: The Context of United States New York City</w:t>
      </w:r>
    </w:p>
    <w:p>
      <w:pPr>
        <w:pStyle w:val="FirstParagraph"/>
      </w:pPr>
      <w:r>
        <w:rPr>
          <w:bCs/>
          <w:b/>
        </w:rPr>
        <w:t xml:space="preserve">ApexLedger</w:t>
      </w:r>
      <w:r>
        <w:t xml:space="preserve">, founded in 2019, aimed to democratize access to algorithmic trading tools for retail investors. Located in the bustling financial district of Manhattan, the company was situated at the epicenter of global finance. The choice of</w:t>
      </w:r>
      <w:r>
        <w:t xml:space="preserve"> </w:t>
      </w:r>
      <w:r>
        <w:rPr>
          <w:bCs/>
          <w:b/>
        </w:rPr>
        <w:t xml:space="preserve">United States New York City</w:t>
      </w:r>
      <w:r>
        <w:t xml:space="preserve"> </w:t>
      </w:r>
      <w:r>
        <w:t xml:space="preserve">as headquarters was strategic but also challenging; it provided access to top-tier talent and capital but demanded rigorous adherence to stringent regulatory standards enforced by entities like the SEC and FINRA.</w:t>
      </w:r>
    </w:p>
    <w:p>
      <w:pPr>
        <w:pStyle w:val="BodyText"/>
      </w:pPr>
      <w:r>
        <w:t xml:space="preserve">The city's infrastructure, characterized by high latency network requirements for local exchanges and strict data sovereignty laws, created a unique operational landscape. For any</w:t>
      </w:r>
      <w:r>
        <w:t xml:space="preserve"> </w:t>
      </w:r>
      <w:r>
        <w:rPr>
          <w:bCs/>
          <w:b/>
        </w:rPr>
        <w:t xml:space="preserve">Software Engineer</w:t>
      </w:r>
      <w:r>
        <w:t xml:space="preserve"> </w:t>
      </w:r>
      <w:r>
        <w:t xml:space="preserve">working in this domain, understanding the physical and legal geography of New York was as critical as writing clean code. The pressure to innovate while maintaining zero-downtime availability for trading systems meant that traditional agile approaches had to be augmented with heavy emphasis on reliability engineering.</w:t>
      </w:r>
    </w:p>
    <w:bookmarkEnd w:id="21"/>
    <w:bookmarkStart w:id="22" w:name="X7e4766f9af822844d81506e4ac0caae73e0a155"/>
    <w:p>
      <w:pPr>
        <w:pStyle w:val="Heading2"/>
      </w:pPr>
      <w:r>
        <w:t xml:space="preserve">3. Problem Statement: The Bottlenecks of Rapid Growth</w:t>
      </w:r>
    </w:p>
    <w:p>
      <w:pPr>
        <w:pStyle w:val="FirstParagraph"/>
      </w:pPr>
      <w:r>
        <w:t xml:space="preserve">By early 2021, ApexLedger experienced a surge in user acquisition, driven by market volatility and increased retail interest in digital assets. However, this growth exposed critical vulnerabilities in the legacy monolithic architecture initially deployed by the founding team. The core issues included:</w:t>
      </w:r>
    </w:p>
    <w:p>
      <w:pPr>
        <w:numPr>
          <w:ilvl w:val="0"/>
          <w:numId w:val="1001"/>
        </w:numPr>
        <w:pStyle w:val="Compact"/>
      </w:pPr>
      <w:r>
        <w:rPr>
          <w:bCs/>
          <w:b/>
        </w:rPr>
        <w:t xml:space="preserve">Latency Spikes:</w:t>
      </w:r>
      <w:r>
        <w:t xml:space="preserve"> </w:t>
      </w:r>
      <w:r>
        <w:t xml:space="preserve">During peak trading hours, transaction processing times increased by 300%, leading to user complaints and potential regulatory flags.</w:t>
      </w:r>
    </w:p>
    <w:p>
      <w:pPr>
        <w:numPr>
          <w:ilvl w:val="0"/>
          <w:numId w:val="1001"/>
        </w:numPr>
        <w:pStyle w:val="Compact"/>
      </w:pPr>
      <w:r>
        <w:rPr>
          <w:bCs/>
          <w:b/>
        </w:rPr>
        <w:t xml:space="preserve">Data Integrity Risks:</w:t>
      </w:r>
      <w:r>
        <w:t xml:space="preserve"> </w:t>
      </w:r>
      <w:r>
        <w:t xml:space="preserve">The centralized database struggled with concurrent write operations, resulting in occasional race conditions that threatened the accuracy of portfolio balances.</w:t>
      </w:r>
    </w:p>
    <w:p>
      <w:pPr>
        <w:numPr>
          <w:ilvl w:val="0"/>
          <w:numId w:val="1001"/>
        </w:numPr>
        <w:pStyle w:val="Compact"/>
      </w:pPr>
      <w:r>
        <w:rPr>
          <w:bCs/>
          <w:b/>
        </w:rPr>
        <w:t xml:space="preserve">Deployment Friction:</w:t>
      </w:r>
      <w:r>
        <w:t xml:space="preserve"> </w:t>
      </w:r>
      <w:r>
        <w:t xml:space="preserve">The manual deployment process took four hours, discouraging frequent updates and causing "change fatigue" among the engineering team.</w:t>
      </w:r>
    </w:p>
    <w:p>
      <w:pPr>
        <w:pStyle w:val="FirstParagraph"/>
      </w:pPr>
      <w:r>
        <w:t xml:space="preserve">This scenario presented a classic dilemma: how to scale without breaking existing functionality. It required a profound shift in mindset from the</w:t>
      </w:r>
      <w:r>
        <w:t xml:space="preserve"> </w:t>
      </w:r>
      <w:r>
        <w:rPr>
          <w:bCs/>
          <w:b/>
        </w:rPr>
        <w:t xml:space="preserve">Software Engineers</w:t>
      </w:r>
      <w:r>
        <w:t xml:space="preserve">, who had been accustomed to rapid, somewhat chaotic development cycles in the startup phase, to disciplined, enterprise-grade engineering practices.</w:t>
      </w:r>
    </w:p>
    <w:bookmarkEnd w:id="22"/>
    <w:bookmarkStart w:id="26" w:name="methodology-the-engineering-response"/>
    <w:p>
      <w:pPr>
        <w:pStyle w:val="Heading2"/>
      </w:pPr>
      <w:r>
        <w:t xml:space="preserve">4. Methodology: The Engineering Response</w:t>
      </w:r>
    </w:p>
    <w:p>
      <w:pPr>
        <w:pStyle w:val="FirstParagraph"/>
      </w:pPr>
      <w:r>
        <w:t xml:space="preserve">The resolution of these challenges was spearheaded by a newly formed platform engineering team. This</w:t>
      </w:r>
      <w:r>
        <w:t xml:space="preserve"> </w:t>
      </w:r>
      <w:r>
        <w:rPr>
          <w:iCs/>
          <w:i/>
        </w:rPr>
        <w:t xml:space="preserve">Case Study</w:t>
      </w:r>
      <w:r>
        <w:t xml:space="preserve"> </w:t>
      </w:r>
      <w:r>
        <w:t xml:space="preserve">analyzes their approach through three key pillars: Microservices Migration, Infrastructure as Code (IaC), and Observability.</w:t>
      </w:r>
    </w:p>
    <w:bookmarkStart w:id="23" w:name="decoupling-the-monolith"/>
    <w:p>
      <w:pPr>
        <w:pStyle w:val="Heading3"/>
      </w:pPr>
      <w:r>
        <w:t xml:space="preserve">4.1 Decoupling the Monolith</w:t>
      </w:r>
    </w:p>
    <w:p>
      <w:pPr>
        <w:pStyle w:val="FirstParagraph"/>
      </w:pPr>
      <w:r>
        <w:t xml:space="preserve">The first step involved identifying bounded contexts within the monolithic application. The team prioritized high-traffic modules such as "Order Management" and "User Authentication." Using a strangler fig pattern, they gradually replaced specific functionalities with independent microservices hosted on Kubernetes clusters in AWS US-East-1 regions, chosen for their proximity to New York-based trading servers to minimize network hops.</w:t>
      </w:r>
    </w:p>
    <w:bookmarkEnd w:id="23"/>
    <w:bookmarkStart w:id="24" w:name="implementing-infrastructure-as-code"/>
    <w:p>
      <w:pPr>
        <w:pStyle w:val="Heading3"/>
      </w:pPr>
      <w:r>
        <w:t xml:space="preserve">4.2 Implementing Infrastructure as Code</w:t>
      </w:r>
    </w:p>
    <w:p>
      <w:pPr>
        <w:pStyle w:val="FirstParagraph"/>
      </w:pPr>
      <w:r>
        <w:t xml:space="preserve">To address deployment friction, the team adopted Terraform and Ansible. This allowed them to provision and manage infrastructure through code files stored in version control systems like GitLab. For the</w:t>
      </w:r>
      <w:r>
        <w:t xml:space="preserve"> </w:t>
      </w:r>
      <w:r>
        <w:rPr>
          <w:bCs/>
          <w:b/>
        </w:rPr>
        <w:t xml:space="preserve">Software Engineers</w:t>
      </w:r>
      <w:r>
        <w:t xml:space="preserve">, this shift meant that environment drift was eliminated. A developer could spin up a local development environment that was an exact replica of production, significantly reducing bugs related to configuration differences.</w:t>
      </w:r>
    </w:p>
    <w:bookmarkEnd w:id="24"/>
    <w:bookmarkStart w:id="25" w:name="enhanced-observability-and-monitoring"/>
    <w:p>
      <w:pPr>
        <w:pStyle w:val="Heading3"/>
      </w:pPr>
      <w:r>
        <w:t xml:space="preserve">4.3 Enhanced Observability and Monitoring</w:t>
      </w:r>
    </w:p>
    <w:p>
      <w:pPr>
        <w:pStyle w:val="FirstParagraph"/>
      </w:pPr>
      <w:r>
        <w:t xml:space="preserve">In the complex ecosystem of New York’s financial tech sector, visibility is paramount. The team implemented a comprehensive observability stack using Prometheus for metrics, Grafana for visualization, and Jaeger for distributed tracing. This allowed engineers to visualize the path of a single transaction across multiple microservices in real-time. When latency spikes occurred during peak market hours in</w:t>
      </w:r>
      <w:r>
        <w:t xml:space="preserve"> </w:t>
      </w:r>
      <w:r>
        <w:rPr>
          <w:bCs/>
          <w:b/>
        </w:rPr>
        <w:t xml:space="preserve">United States New York City</w:t>
      </w:r>
      <w:r>
        <w:t xml:space="preserve">, the team could pinpoint bottlenecks within minutes rather than days.</w:t>
      </w:r>
    </w:p>
    <w:bookmarkEnd w:id="25"/>
    <w:bookmarkEnd w:id="26"/>
    <w:bookmarkStart w:id="27" w:name="implementation-challenges-and-solutions"/>
    <w:p>
      <w:pPr>
        <w:pStyle w:val="Heading2"/>
      </w:pPr>
      <w:r>
        <w:t xml:space="preserve">5. Implementation Challenges and Solutions</w:t>
      </w:r>
    </w:p>
    <w:p>
      <w:pPr>
        <w:pStyle w:val="FirstParagraph"/>
      </w:pPr>
      <w:r>
        <w:t xml:space="preserve">The transition was not without its hurdles. Cultural resistance from legacy developers was a significant barrier; many engineers were comfortable with the monolith and feared the complexity of distributed systems. To mitigate this, ApexLedger invested heavily in upskilling programs.</w:t>
      </w:r>
    </w:p>
    <w:p>
      <w:pPr>
        <w:pStyle w:val="BodyText"/>
      </w:pPr>
      <w:r>
        <w:rPr>
          <w:bCs/>
          <w:b/>
        </w:rPr>
        <w:t xml:space="preserve">Key Insight:</w:t>
      </w:r>
      <w:r>
        <w:t xml:space="preserve"> </w:t>
      </w:r>
      <w:r>
        <w:t xml:space="preserve">Training was not limited to technical skills. Engineers participated in workshops regarding financial compliance specific to New York regulations, fostering a deeper understanding of the business impact of their code. This holistic approach helped bridge the gap between engineering and product teams, ensuring that technical decisions aligned with regulatory requirements.</w:t>
      </w:r>
    </w:p>
    <w:p>
      <w:pPr>
        <w:pStyle w:val="BodyText"/>
      </w:pPr>
      <w:r>
        <w:t xml:space="preserve">Another challenge was data consistency across services. The team adopted an event-driven architecture using Apache Kafka to ensure eventual consistency between microservices. While this introduced complexity in debugging transaction histories, it provided the necessary scalability to handle thousands of concurrent trades during market open and close.</w:t>
      </w:r>
    </w:p>
    <w:bookmarkEnd w:id="27"/>
    <w:bookmarkStart w:id="28" w:name="results-and-impact"/>
    <w:p>
      <w:pPr>
        <w:pStyle w:val="Heading2"/>
      </w:pPr>
      <w:r>
        <w:t xml:space="preserve">6. Results and Impact</w:t>
      </w:r>
    </w:p>
    <w:p>
      <w:pPr>
        <w:pStyle w:val="FirstParagraph"/>
      </w:pPr>
      <w:r>
        <w:t xml:space="preserve">Six months after the full migration, ApexLedger reported transformative improvements:</w:t>
      </w:r>
    </w:p>
    <w:p>
      <w:pPr>
        <w:numPr>
          <w:ilvl w:val="0"/>
          <w:numId w:val="1002"/>
        </w:numPr>
        <w:pStyle w:val="Compact"/>
      </w:pPr>
      <w:r>
        <w:rPr>
          <w:bCs/>
          <w:b/>
        </w:rPr>
        <w:t xml:space="preserve">Latency Reduction:</w:t>
      </w:r>
      <w:r>
        <w:t xml:space="preserve"> </w:t>
      </w:r>
      <w:r>
        <w:t xml:space="preserve">Average transaction processing time dropped by 70%, ensuring fair execution for users.</w:t>
      </w:r>
    </w:p>
    <w:p>
      <w:pPr>
        <w:numPr>
          <w:ilvl w:val="0"/>
          <w:numId w:val="1002"/>
        </w:numPr>
        <w:pStyle w:val="Compact"/>
      </w:pPr>
      <w:r>
        <w:rPr>
          <w:bCs/>
          <w:b/>
        </w:rPr>
        <w:t xml:space="preserve">Cycle Time Improvement:</w:t>
      </w:r>
      <w:r>
        <w:t xml:space="preserve"> </w:t>
      </w:r>
      <w:r>
        <w:t xml:space="preserve">Deployment frequency increased from once a week to multiple times daily, enabling rapid response to market changes.</w:t>
      </w:r>
    </w:p>
    <w:p>
      <w:pPr>
        <w:numPr>
          <w:ilvl w:val="0"/>
          <w:numId w:val="1002"/>
        </w:numPr>
        <w:pStyle w:val="Compact"/>
      </w:pPr>
      <w:r>
        <w:rPr>
          <w:bCs/>
          <w:b/>
        </w:rPr>
        <w:t xml:space="preserve">User Growth:</w:t>
      </w:r>
      <w:r>
        <w:t xml:space="preserve"> </w:t>
      </w:r>
      <w:r>
        <w:t xml:space="preserve">With improved reliability, user retention rates rose by 25%, leading to a 40% increase in assets under management (AUM).</w:t>
      </w:r>
    </w:p>
    <w:p>
      <w:pPr>
        <w:pStyle w:val="FirstParagraph"/>
      </w:pPr>
      <w:r>
        <w:t xml:space="preserve">The success of this initiative was not just technical but also operational. The engineering team became a model for other departments within the company. More importantly, the system's resilience proved crucial during periods of extreme market volatility, maintaining uptime even when competitor platforms experienced outages.</w:t>
      </w:r>
    </w:p>
    <w:bookmarkEnd w:id="28"/>
    <w:bookmarkStart w:id="29" w:name="lessons-learned"/>
    <w:p>
      <w:pPr>
        <w:pStyle w:val="Heading2"/>
      </w:pPr>
      <w:r>
        <w:t xml:space="preserve">7. Lessons Learned</w:t>
      </w:r>
    </w:p>
    <w:p>
      <w:pPr>
        <w:pStyle w:val="FirstParagraph"/>
      </w:pPr>
      <w:r>
        <w:t xml:space="preserve">This</w:t>
      </w:r>
      <w:r>
        <w:t xml:space="preserve"> </w:t>
      </w:r>
      <w:r>
        <w:rPr>
          <w:iCs/>
          <w:i/>
        </w:rPr>
        <w:t xml:space="preserve">Case Study</w:t>
      </w:r>
      <w:r>
        <w:t xml:space="preserve"> </w:t>
      </w:r>
      <w:r>
        <w:t xml:space="preserve">highlights several critical lessons for organizations operating in high-pressure environments like the tech sector in</w:t>
      </w:r>
      <w:r>
        <w:t xml:space="preserve"> </w:t>
      </w:r>
      <w:r>
        <w:rPr>
          <w:bCs/>
          <w:b/>
        </w:rPr>
        <w:t xml:space="preserve">United States New York City</w:t>
      </w:r>
      <w:r>
        <w:t xml:space="preserve">:</w:t>
      </w:r>
    </w:p>
    <w:p>
      <w:pPr>
        <w:numPr>
          <w:ilvl w:val="0"/>
          <w:numId w:val="1003"/>
        </w:numPr>
        <w:pStyle w:val="Compact"/>
      </w:pPr>
      <w:r>
        <w:rPr>
          <w:bCs/>
          <w:b/>
        </w:rPr>
        <w:t xml:space="preserve">Talent is Paramount:</w:t>
      </w:r>
      <w:r>
        <w:t xml:space="preserve"> </w:t>
      </w:r>
      <w:r>
        <w:t xml:space="preserve">The role of the individual</w:t>
      </w:r>
      <w:r>
        <w:t xml:space="preserve"> </w:t>
      </w:r>
      <w:r>
        <w:rPr>
          <w:bCs/>
          <w:b/>
        </w:rPr>
        <w:t xml:space="preserve">Software Engineer</w:t>
      </w:r>
      <w:r>
        <w:t xml:space="preserve"> </w:t>
      </w:r>
      <w:r>
        <w:t xml:space="preserve">cannot be overstated. Their ability to adapt to new technologies and understand business context is the primary driver of successful digital transformation.</w:t>
      </w:r>
    </w:p>
    <w:p>
      <w:pPr>
        <w:numPr>
          <w:ilvl w:val="0"/>
          <w:numId w:val="1003"/>
        </w:numPr>
        <w:pStyle w:val="Compact"/>
      </w:pPr>
      <w:r>
        <w:rPr>
          <w:bCs/>
          <w:b/>
        </w:rPr>
        <w:t xml:space="preserve">Governance Meets Agility:</w:t>
      </w:r>
      <w:r>
        <w:t xml:space="preserve"> </w:t>
      </w:r>
      <w:r>
        <w:t xml:space="preserve">In regulated industries, agility must not come at the cost of compliance. Integrating compliance checks into the CI/CD pipeline ensures that speed does not compromise security.</w:t>
      </w:r>
    </w:p>
    <w:p>
      <w:pPr>
        <w:numPr>
          <w:ilvl w:val="0"/>
          <w:numId w:val="1003"/>
        </w:numPr>
        <w:pStyle w:val="Compact"/>
      </w:pPr>
      <w:r>
        <w:rPr>
          <w:bCs/>
          <w:b/>
        </w:rPr>
        <w:t xml:space="preserve">Local Context Matters:</w:t>
      </w:r>
      <w:r>
        <w:t xml:space="preserve"> </w:t>
      </w:r>
      <w:r>
        <w:t xml:space="preserve">Operating in a global hub like New York requires an understanding of local infrastructure, legal frameworks, and market behaviors. Technology solutions must be tailored to these specific environmental factors.</w:t>
      </w:r>
    </w:p>
    <w:bookmarkEnd w:id="29"/>
    <w:bookmarkStart w:id="30" w:name="conclusion"/>
    <w:p>
      <w:pPr>
        <w:pStyle w:val="Heading2"/>
      </w:pPr>
      <w:r>
        <w:t xml:space="preserve">8. Conclusion</w:t>
      </w:r>
    </w:p>
    <w:p>
      <w:pPr>
        <w:pStyle w:val="FirstParagraph"/>
      </w:pPr>
      <w:r>
        <w:t xml:space="preserve">The journey of ApexLedger serves as a compelling narrative for modern software development. It demonstrates that with the right architectural decisions and a skilled engineering workforce, even legacy systems can be transformed into agile, scalable platforms capable of thriving in the competitive landscape of New York City's financial district. As fintech continues to evolve, the insights gained from this</w:t>
      </w:r>
      <w:r>
        <w:t xml:space="preserve"> </w:t>
      </w:r>
      <w:r>
        <w:rPr>
          <w:iCs/>
          <w:i/>
        </w:rPr>
        <w:t xml:space="preserve">Case Study</w:t>
      </w:r>
      <w:r>
        <w:t xml:space="preserve"> </w:t>
      </w:r>
      <w:r>
        <w:t xml:space="preserve">will remain relevant for</w:t>
      </w:r>
      <w:r>
        <w:t xml:space="preserve"> </w:t>
      </w:r>
      <w:r>
        <w:rPr>
          <w:bCs/>
          <w:b/>
        </w:rPr>
        <w:t xml:space="preserve">Software Engineers</w:t>
      </w:r>
      <w:r>
        <w:t xml:space="preserve"> </w:t>
      </w:r>
      <w:r>
        <w:t xml:space="preserve">aiming to build resilient and innovative solutions in major economic hubs around the world.</w:t>
      </w:r>
    </w:p>
    <w:p>
      <w:pPr>
        <w:pStyle w:val="BodyText"/>
      </w:pPr>
      <w:r>
        <w:t xml:space="preserve">The future of software engineering in locations like</w:t>
      </w:r>
    </w:p>
    <w:p>
      <w:pPr>
        <w:pStyle w:val="BodyText"/>
      </w:pPr>
      <w:r>
        <w:t xml:space="preserve">United States New York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the Heart of New York</dc:title>
  <dc:creator/>
  <dc:language>en</dc:language>
  <cp:keywords/>
  <dcterms:created xsi:type="dcterms:W3CDTF">2026-07-29T03:33:32Z</dcterms:created>
  <dcterms:modified xsi:type="dcterms:W3CDTF">2026-07-29T03:33:32Z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