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Special</w:t>
      </w:r>
      <w:r>
        <w:t xml:space="preserve"> </w:t>
      </w:r>
      <w:r>
        <w:t xml:space="preserve">Education</w:t>
      </w:r>
      <w:r>
        <w:t xml:space="preserve"> </w:t>
      </w:r>
      <w:r>
        <w:t xml:space="preserve">Teacher</w:t>
      </w:r>
      <w:r>
        <w:t xml:space="preserve"> </w:t>
      </w:r>
      <w:r>
        <w:t xml:space="preserve">in</w:t>
      </w:r>
      <w:r>
        <w:t xml:space="preserve"> </w:t>
      </w:r>
      <w:r>
        <w:t xml:space="preserve">Australia</w:t>
      </w:r>
      <w:r>
        <w:t xml:space="preserve"> </w:t>
      </w:r>
      <w:r>
        <w:t xml:space="preserve">Brisbane</w:t>
      </w:r>
    </w:p>
    <w:bookmarkStart w:id="31" w:name="X5efc84c1d632e893229a059051412a0e1de9ac8"/>
    <w:p>
      <w:pPr>
        <w:pStyle w:val="Heading1"/>
      </w:pPr>
      <w:r>
        <w:t xml:space="preserve">Case Study: The Role and Impact of a Special Education Teacher in Australia Brisbane</w:t>
      </w:r>
    </w:p>
    <w:p>
      <w:pPr>
        <w:pStyle w:val="FirstParagraph"/>
      </w:pPr>
      <w:r>
        <w:rPr>
          <w:bCs/>
          <w:b/>
        </w:rPr>
        <w:t xml:space="preserve">Date:</w:t>
      </w:r>
      <w:r>
        <w:t xml:space="preserve"> </w:t>
      </w:r>
      <w:r>
        <w:t xml:space="preserve">October 24, 2023</w:t>
      </w:r>
      <w:r>
        <w:br/>
      </w:r>
      <w:r>
        <w:rPr>
          <w:bCs/>
          <w:b/>
        </w:rPr>
        <w:t xml:space="preserve">Location:</w:t>
      </w:r>
      <w:hyperlink w:anchor="Xa39a3ee5e6b4b0d3255bfef95601890afd80709">
        <w:r>
          <w:rPr>
            <w:rStyle w:val="Hyperlink"/>
          </w:rPr>
          <w:t xml:space="preserve">Australia Brisbane</w:t>
        </w:r>
      </w:hyperlink>
      <w:r>
        <w:br/>
      </w:r>
      <w:r>
        <w:rPr>
          <w:bCs/>
          <w:b/>
        </w:rPr>
        <w:t xml:space="preserve">Focused Professional Role:Special Education Teacher</w:t>
      </w:r>
    </w:p>
    <w:bookmarkStart w:id="20" w:name="introduction"/>
    <w:p>
      <w:pPr>
        <w:pStyle w:val="Heading2"/>
      </w:pPr>
      <w:r>
        <w:t xml:space="preserve">Introduction and Contextual Background</w:t>
      </w:r>
    </w:p>
    <w:p>
      <w:pPr>
        <w:pStyle w:val="FirstParagraph"/>
      </w:pPr>
      <w:r>
        <w:t xml:space="preserve">In the vibrant educational landscape of</w:t>
      </w:r>
      <w:r>
        <w:t xml:space="preserve"> </w:t>
      </w:r>
      <w:r>
        <w:rPr>
          <w:bCs/>
          <w:b/>
        </w:rPr>
        <w:t xml:space="preserve">Australia Brisbane</w:t>
      </w:r>
      <w:r>
        <w:t xml:space="preserve">, the demand for specialized pedagogical support has grown significantly in recent years. This case study examines the critical role of a</w:t>
      </w:r>
      <w:r>
        <w:t xml:space="preserve"> </w:t>
      </w:r>
      <w:r>
        <w:rPr>
          <w:bCs/>
          <w:b/>
        </w:rPr>
        <w:t xml:space="preserve">Special Education Teacher</w:t>
      </w:r>
      <w:r>
        <w:t xml:space="preserve"> </w:t>
      </w:r>
      <w:r>
        <w:t xml:space="preserve">operating within this specific geographic and cultural context. The city of</w:t>
      </w:r>
      <w:r>
        <w:t xml:space="preserve"> </w:t>
      </w:r>
      <w:hyperlink w:anchor="Xa39a3ee5e6b4b0d3255bfef95601890afd80709">
        <w:r>
          <w:rPr>
            <w:rStyle w:val="Hyperlink"/>
          </w:rPr>
          <w:t xml:space="preserve">Australia Brisbane</w:t>
        </w:r>
      </w:hyperlink>
      <w:r>
        <w:t xml:space="preserve"> </w:t>
      </w:r>
      <w:r>
        <w:t xml:space="preserve">serves as a microcosm for broader Australian educational policies, characterized by a diverse student population, varying socioeconomic backgrounds, and an increasing emphasis on inclusive education frameworks mandated by the Queensland Department of Education.</w:t>
      </w:r>
      <w:r>
        <w:br/>
      </w:r>
      <w:r>
        <w:br/>
      </w:r>
      <w:r>
        <w:t xml:space="preserve">The primary objective of this analysis is to explore how a</w:t>
      </w:r>
      <w:r>
        <w:t xml:space="preserve"> </w:t>
      </w:r>
      <w:r>
        <w:rPr>
          <w:bCs/>
          <w:b/>
        </w:rPr>
        <w:t xml:space="preserve">Special Education Teacher</w:t>
      </w:r>
      <w:r>
        <w:t xml:space="preserve"> </w:t>
      </w:r>
      <w:r>
        <w:t xml:space="preserve">navigates the complexities of individualized learning plans (ILPs) while adhering to the National Disability Insurance Scheme (NDIS) guidelines prevalent in</w:t>
      </w:r>
      <w:r>
        <w:t xml:space="preserve"> </w:t>
      </w:r>
      <w:hyperlink w:anchor="Xa39a3ee5e6b4b0d3255bfef95601890afd80709">
        <w:r>
          <w:rPr>
            <w:rStyle w:val="Hyperlink"/>
          </w:rPr>
          <w:t xml:space="preserve">Australia Brisbane</w:t>
        </w:r>
      </w:hyperlink>
      <w:r>
        <w:t xml:space="preserve">. By focusing on a hypothetical yet representative scenario, we can understand the multifaceted responsibilities that define this profession in this region.</w:t>
      </w:r>
      <w:r>
        <w:br/>
      </w:r>
    </w:p>
    <w:bookmarkEnd w:id="20"/>
    <w:bookmarkStart w:id="23" w:name="case-profile"/>
    <w:p>
      <w:pPr>
        <w:pStyle w:val="Heading2"/>
      </w:pPr>
      <w:r>
        <w:t xml:space="preserve">Case Profile: "Project Inclusion"</w:t>
      </w:r>
    </w:p>
    <w:p>
      <w:pPr>
        <w:pStyle w:val="FirstParagraph"/>
      </w:pPr>
      <w:r>
        <w:t xml:space="preserve">To illustrate the practical application of special education principles, we introduce a case study involving "Alex," a Year 5 student with Autism Spectrum Disorder (ASD), and his dedicated</w:t>
      </w:r>
      <w:r>
        <w:t xml:space="preserve"> </w:t>
      </w:r>
      <w:r>
        <w:rPr>
          <w:bCs/>
          <w:b/>
        </w:rPr>
        <w:t xml:space="preserve">Special Education Teacher</w:t>
      </w:r>
      <w:r>
        <w:t xml:space="preserve">, Ms. Sarah Jenkins. This case is situated within a mainstream primary school in the southern suburbs of</w:t>
      </w:r>
      <w:r>
        <w:t xml:space="preserve"> </w:t>
      </w:r>
      <w:hyperlink w:anchor="Xa39a3ee5e6b4b0d3255bfef95601890afd80709">
        <w:r>
          <w:rPr>
            <w:rStyle w:val="Hyperlink"/>
          </w:rPr>
          <w:t xml:space="preserve">Australia Brisbane</w:t>
        </w:r>
      </w:hyperlink>
      <w:r>
        <w:t xml:space="preserve">.</w:t>
      </w:r>
      <w:r>
        <w:br/>
      </w:r>
    </w:p>
    <w:bookmarkStart w:id="21" w:name="the-students-needs"/>
    <w:p>
      <w:pPr>
        <w:pStyle w:val="Heading3"/>
      </w:pPr>
      <w:r>
        <w:t xml:space="preserve">The Student's Needs</w:t>
      </w:r>
    </w:p>
    <w:p>
      <w:pPr>
        <w:pStyle w:val="FirstParagraph"/>
      </w:pPr>
      <w:r>
        <w:t xml:space="preserve">Alex presents with challenges in social interaction, sensory processing, and executive functioning. While academically capable in literacy and numeracy, his inability to regulate emotions during unstructured times led to frequent disengagement from class activities. The school administration recognized that traditional teaching methods were insufficient for Alex’s needs, necessitating the intervention of a</w:t>
      </w:r>
      <w:r>
        <w:t xml:space="preserve"> </w:t>
      </w:r>
      <w:r>
        <w:rPr>
          <w:bCs/>
          <w:b/>
        </w:rPr>
        <w:t xml:space="preserve">Special Education Teacher</w:t>
      </w:r>
      <w:r>
        <w:t xml:space="preserve">.</w:t>
      </w:r>
      <w:r>
        <w:br/>
      </w:r>
    </w:p>
    <w:bookmarkEnd w:id="21"/>
    <w:bookmarkStart w:id="22" w:name="the-intervention-strategy"/>
    <w:p>
      <w:pPr>
        <w:pStyle w:val="Heading3"/>
      </w:pPr>
      <w:r>
        <w:t xml:space="preserve">The Intervention Strategy</w:t>
      </w:r>
    </w:p>
    <w:p>
      <w:pPr>
        <w:pStyle w:val="FirstParagraph"/>
      </w:pPr>
      <w:r>
        <w:t xml:space="preserve">Ms. Jenkins, operating under the framework established by educational authorities in</w:t>
      </w:r>
      <w:r>
        <w:t xml:space="preserve"> </w:t>
      </w:r>
      <w:hyperlink w:anchor="Xa39a3ee5e6b4b0d3255bfef95601890afd80709">
        <w:r>
          <w:rPr>
            <w:rStyle w:val="Hyperlink"/>
          </w:rPr>
          <w:t xml:space="preserve">Australia Brisbane</w:t>
        </w:r>
      </w:hyperlink>
      <w:r>
        <w:t xml:space="preserve">, conducted a comprehensive functional behavior assessment. She identified that Alex’s meltdowns were primarily triggered by auditory overload and transitions between activities. Her strategy involved creating a "sensory-safe" zone within the classroom and implementing visual timetables to support transition management.</w:t>
      </w:r>
      <w:r>
        <w:br/>
      </w:r>
    </w:p>
    <w:bookmarkEnd w:id="22"/>
    <w:bookmarkEnd w:id="23"/>
    <w:bookmarkStart w:id="27" w:name="methodology"/>
    <w:p>
      <w:pPr>
        <w:pStyle w:val="Heading2"/>
      </w:pPr>
      <w:r>
        <w:t xml:space="preserve">Methodology: The Role of the Special Education Teacher</w:t>
      </w:r>
    </w:p>
    <w:p>
      <w:pPr>
        <w:pStyle w:val="FirstParagraph"/>
      </w:pPr>
      <w:r>
        <w:t xml:space="preserve">The efficacy of Ms. Jenkins’ approach highlights several core competencies required of any</w:t>
      </w:r>
      <w:r>
        <w:t xml:space="preserve"> </w:t>
      </w:r>
      <w:r>
        <w:rPr>
          <w:bCs/>
          <w:b/>
        </w:rPr>
        <w:t xml:space="preserve">Special Education Teacher</w:t>
      </w:r>
      <w:r>
        <w:t xml:space="preserve"> </w:t>
      </w:r>
      <w:r>
        <w:t xml:space="preserve">working in</w:t>
      </w:r>
      <w:r>
        <w:t xml:space="preserve"> </w:t>
      </w:r>
      <w:hyperlink w:anchor="Xa39a3ee5e6b4b0d3255bfef95601890afd80709">
        <w:r>
          <w:rPr>
            <w:rStyle w:val="Hyperlink"/>
          </w:rPr>
          <w:t xml:space="preserve">Australia Brisbane</w:t>
        </w:r>
      </w:hyperlink>
      <w:r>
        <w:t xml:space="preserve">. These include collaboration, data-driven instruction, and advocacy.</w:t>
      </w:r>
      <w:r>
        <w:br/>
      </w:r>
    </w:p>
    <w:bookmarkStart w:id="24" w:name="collaboration-and-stakeholder-engagement"/>
    <w:p>
      <w:pPr>
        <w:pStyle w:val="Heading3"/>
      </w:pPr>
      <w:r>
        <w:t xml:space="preserve">1. Collaboration and Stakeholder Engagement</w:t>
      </w:r>
    </w:p>
    <w:p>
      <w:pPr>
        <w:pStyle w:val="FirstParagraph"/>
      </w:pPr>
      <w:r>
        <w:t xml:space="preserve">In the context of</w:t>
      </w:r>
      <w:r>
        <w:t xml:space="preserve"> </w:t>
      </w:r>
      <w:hyperlink w:anchor="Xa39a3ee5e6b4b0d3255bfef95601890afd80709">
        <w:r>
          <w:rPr>
            <w:rStyle w:val="Hyperlink"/>
          </w:rPr>
          <w:t xml:space="preserve">Australia Brisbane</w:t>
        </w:r>
      </w:hyperlink>
      <w:r>
        <w:t xml:space="preserve">, special education does not occur in isolation. Ms. Jenkins worked closely with Alex’s classroom teacher to modify curriculum content without diluting academic rigor. Furthermore, she coordinated with speech therapists and occupational therapists who were funded through the NDIS—a crucial aspect of disability support in Australia.</w:t>
      </w:r>
      <w:r>
        <w:br/>
      </w:r>
      <w:r>
        <w:br/>
      </w:r>
      <w:r>
        <w:t xml:space="preserve">Regular meetings were held with Alex’s parents, ensuring that strategies used at school mirrored those at home. This holistic approach is a hallmark of effective special education practice in Queensland, where family partnership is highly valued. The</w:t>
      </w:r>
      <w:r>
        <w:t xml:space="preserve"> </w:t>
      </w:r>
      <w:r>
        <w:rPr>
          <w:bCs/>
          <w:b/>
        </w:rPr>
        <w:t xml:space="preserve">Special Education Teacher</w:t>
      </w:r>
      <w:r>
        <w:t xml:space="preserve"> </w:t>
      </w:r>
      <w:r>
        <w:t xml:space="preserve">acted as the central hub of communication, translating complex behavioral data into actionable steps for all stakeholders.</w:t>
      </w:r>
      <w:r>
        <w:br/>
      </w:r>
    </w:p>
    <w:bookmarkEnd w:id="24"/>
    <w:bookmarkStart w:id="25" w:name="X53ae1543d4e7121858c896da0a8de76b74242fe"/>
    <w:p>
      <w:pPr>
        <w:pStyle w:val="Heading3"/>
      </w:pPr>
      <w:r>
        <w:t xml:space="preserve">2. Data-Driven Instruction and Progress Monitoring</w:t>
      </w:r>
    </w:p>
    <w:p>
      <w:pPr>
        <w:pStyle w:val="FirstParagraph"/>
      </w:pPr>
      <w:r>
        <w:t xml:space="preserve">A key responsibility of a</w:t>
      </w:r>
      <w:r>
        <w:t xml:space="preserve"> </w:t>
      </w:r>
      <w:r>
        <w:rPr>
          <w:bCs/>
          <w:b/>
        </w:rPr>
        <w:t xml:space="preserve">Special Education Teacher</w:t>
      </w:r>
      <w:r>
        <w:t xml:space="preserve"> </w:t>
      </w:r>
      <w:r>
        <w:t xml:space="preserve">is the continuous monitoring of student progress. Ms. Jenkins utilized standardized observation checklists and anecdotal records to track Alex’s reduction in anxiety-related behaviors over an eight-week period.</w:t>
      </w:r>
      <w:r>
        <w:br/>
      </w:r>
      <w:r>
        <w:br/>
      </w:r>
      <w:r>
        <w:t xml:space="preserve">Data collected in</w:t>
      </w:r>
      <w:r>
        <w:t xml:space="preserve"> </w:t>
      </w:r>
      <w:hyperlink w:anchor="Xa39a3ee5e6b4b0d3255bfef95601890afd80709">
        <w:r>
          <w:rPr>
            <w:rStyle w:val="Hyperlink"/>
          </w:rPr>
          <w:t xml:space="preserve">Australia Brisbane</w:t>
        </w:r>
      </w:hyperlink>
      <w:r>
        <w:t xml:space="preserve"> </w:t>
      </w:r>
      <w:r>
        <w:t xml:space="preserve">schools must often align with state-wide reporting requirements. Ms. Jenkins ensured that her documentation met these standards, providing evidence of progress that justified continued funding for support services. This data-driven approach allows the</w:t>
      </w:r>
      <w:r>
        <w:t xml:space="preserve"> </w:t>
      </w:r>
      <w:r>
        <w:rPr>
          <w:bCs/>
          <w:b/>
        </w:rPr>
        <w:t xml:space="preserve">Special Education Teacher</w:t>
      </w:r>
      <w:r>
        <w:t xml:space="preserve"> </w:t>
      </w:r>
      <w:r>
        <w:t xml:space="preserve">to pivot strategies quickly if a particular intervention proves ineffective, ensuring that the student receives timely and appropriate support.</w:t>
      </w:r>
      <w:r>
        <w:br/>
      </w:r>
    </w:p>
    <w:bookmarkEnd w:id="25"/>
    <w:bookmarkStart w:id="26" w:name="advocacy-and-inclusive-culture-building"/>
    <w:p>
      <w:pPr>
        <w:pStyle w:val="Heading3"/>
      </w:pPr>
      <w:r>
        <w:t xml:space="preserve">3. Advocacy and Inclusive Culture Building</w:t>
      </w:r>
    </w:p>
    <w:p>
      <w:pPr>
        <w:pStyle w:val="FirstParagraph"/>
      </w:pPr>
      <w:r>
        <w:t xml:space="preserve">Beyond direct student intervention, Ms. Jenkins played a pivotal role in fostering an inclusive school culture in</w:t>
      </w:r>
      <w:r>
        <w:t xml:space="preserve"> </w:t>
      </w:r>
      <w:hyperlink w:anchor="Xa39a3ee5e6b4b0d3255bfef95601890afd80709">
        <w:r>
          <w:rPr>
            <w:rStyle w:val="Hyperlink"/>
          </w:rPr>
          <w:t xml:space="preserve">Australia Brisbane</w:t>
        </w:r>
      </w:hyperlink>
      <w:r>
        <w:t xml:space="preserve">. She conducted professional development sessions for general education staff, educating them on ASD awareness and universal design for learning (UDL).</w:t>
      </w:r>
      <w:r>
        <w:br/>
      </w:r>
      <w:r>
        <w:br/>
      </w:r>
      <w:r>
        <w:t xml:space="preserve">This systemic change is essential. A</w:t>
      </w:r>
      <w:r>
        <w:t xml:space="preserve"> </w:t>
      </w:r>
      <w:r>
        <w:rPr>
          <w:bCs/>
          <w:b/>
        </w:rPr>
        <w:t xml:space="preserve">Special Education Teacher</w:t>
      </w:r>
      <w:r>
        <w:t xml:space="preserve"> </w:t>
      </w:r>
      <w:r>
        <w:t xml:space="preserve">does not merely teach students with disabilities; they empower the entire educational ecosystem to be more inclusive. By reducing stigma and increasing understanding among peers, Ms. Jenkins helped create an environment where Alex felt safe and accepted, significantly improving his social integration.</w:t>
      </w:r>
      <w:r>
        <w:br/>
      </w:r>
    </w:p>
    <w:bookmarkEnd w:id="26"/>
    <w:bookmarkEnd w:id="27"/>
    <w:bookmarkStart w:id="28" w:name="challenges"/>
    <w:p>
      <w:pPr>
        <w:pStyle w:val="Heading2"/>
      </w:pPr>
      <w:r>
        <w:t xml:space="preserve">Challenges Specific to Australia Brisbane</w:t>
      </w:r>
    </w:p>
    <w:p>
      <w:pPr>
        <w:pStyle w:val="FirstParagraph"/>
      </w:pPr>
      <w:r>
        <w:t xml:space="preserve">While the case study of Alex is successful, it is important to acknowledge the unique challenges faced by</w:t>
      </w:r>
      <w:r>
        <w:t xml:space="preserve"> </w:t>
      </w:r>
      <w:r>
        <w:rPr>
          <w:bCs/>
          <w:b/>
        </w:rPr>
        <w:t xml:space="preserve">Special Education Teachers</w:t>
      </w:r>
      <w:r>
        <w:t xml:space="preserve"> </w:t>
      </w:r>
      <w:r>
        <w:t xml:space="preserve">in</w:t>
      </w:r>
      <w:r>
        <w:t xml:space="preserve"> </w:t>
      </w:r>
      <w:hyperlink w:anchor="Xa39a3ee5e6b4b0d3255bfef95601890afd80709">
        <w:r>
          <w:rPr>
            <w:rStyle w:val="Hyperlink"/>
          </w:rPr>
          <w:t xml:space="preserve">Australia Brisbane</w:t>
        </w:r>
      </w:hyperlink>
      <w:r>
        <w:t xml:space="preserve">.</w:t>
      </w:r>
      <w:r>
        <w:br/>
      </w:r>
    </w:p>
    <w:p>
      <w:pPr>
        <w:numPr>
          <w:ilvl w:val="0"/>
          <w:numId w:val="1001"/>
        </w:numPr>
        <w:pStyle w:val="Compact"/>
      </w:pPr>
      <w:r>
        <w:rPr>
          <w:bCs/>
          <w:b/>
        </w:rPr>
        <w:t xml:space="preserve">Resource Allocation:</w:t>
      </w:r>
      <w:r>
        <w:t xml:space="preserve"> </w:t>
      </w:r>
      <w:r>
        <w:t xml:space="preserve">Despite government funding, waitlists for external therapies can be long. A</w:t>
      </w:r>
      <w:r>
        <w:t xml:space="preserve"> </w:t>
      </w:r>
      <w:r>
        <w:rPr>
          <w:bCs/>
          <w:b/>
        </w:rPr>
        <w:t xml:space="preserve">Special Education Teacher</w:t>
      </w:r>
      <w:r>
        <w:t xml:space="preserve"> </w:t>
      </w:r>
      <w:r>
        <w:t xml:space="preserve">often must fill gaps in service provision while advocating for faster NDIS approval processes.</w:t>
      </w:r>
    </w:p>
    <w:p>
      <w:pPr>
        <w:numPr>
          <w:ilvl w:val="0"/>
          <w:numId w:val="1001"/>
        </w:numPr>
        <w:pStyle w:val="Compact"/>
      </w:pPr>
      <w:r>
        <w:t xml:space="preserve">Diverse Demographics:Brisbane is a growing city with a rapidly increasing migrant population. Teachers must navigate language barriers and cultural differences, requiring them to be culturally responsive. A</w:t>
      </w:r>
      <w:r>
        <w:t xml:space="preserve"> </w:t>
      </w:r>
      <w:r>
        <w:rPr>
          <w:bCs/>
          <w:b/>
        </w:rPr>
        <w:t xml:space="preserve">Special Education Teacher</w:t>
      </w:r>
      <w:r>
        <w:t xml:space="preserve"> </w:t>
      </w:r>
      <w:r>
        <w:t xml:space="preserve">in this context must possess strong cross-cultural communication skills to support families from diverse backgrounds who may have varying understandings of disability.</w:t>
      </w:r>
    </w:p>
    <w:p>
      <w:pPr>
        <w:numPr>
          <w:ilvl w:val="0"/>
          <w:numId w:val="1001"/>
        </w:numPr>
        <w:pStyle w:val="Compact"/>
      </w:pPr>
      <w:r>
        <w:t xml:space="preserve">Bureaucratic Complexity:Navigating the administrative requirements of both the Queensland Department of Education and the federal NDIS can be time-consuming. The</w:t>
      </w:r>
      <w:r>
        <w:t xml:space="preserve"> </w:t>
      </w:r>
      <w:r>
        <w:rPr>
          <w:bCs/>
          <w:b/>
        </w:rPr>
        <w:t xml:space="preserve">Special Education Teacher</w:t>
      </w:r>
      <w:r>
        <w:t xml:space="preserve"> </w:t>
      </w:r>
      <w:r>
        <w:t xml:space="preserve">often spends a significant portion of their week on documentation rather than direct instruction.</w:t>
      </w:r>
    </w:p>
    <w:bookmarkEnd w:id="28"/>
    <w:bookmarkStart w:id="29" w:name="outcomes"/>
    <w:p>
      <w:pPr>
        <w:pStyle w:val="Heading2"/>
      </w:pPr>
      <w:r>
        <w:t xml:space="preserve">Outcomes and Impact Analysis</w:t>
      </w:r>
    </w:p>
    <w:p>
      <w:pPr>
        <w:pStyle w:val="FirstParagraph"/>
      </w:pPr>
      <w:r>
        <w:t xml:space="preserve">After six months of sustained intervention, the outcomes for Alex were measurable and positive.</w:t>
      </w:r>
      <w:r>
        <w:br/>
      </w:r>
    </w:p>
    <w:p>
      <w:pPr>
        <w:numPr>
          <w:ilvl w:val="0"/>
          <w:numId w:val="1002"/>
        </w:numPr>
        <w:pStyle w:val="Compact"/>
      </w:pPr>
      <w:r>
        <w:rPr>
          <w:bCs/>
          <w:b/>
        </w:rPr>
        <w:t xml:space="preserve">Social Engagement:</w:t>
      </w:r>
      <w:r>
        <w:t xml:space="preserve"> </w:t>
      </w:r>
      <w:r>
        <w:t xml:space="preserve">Alex initiated play interactions with peers during break times three times more frequently than baseline.</w:t>
      </w:r>
    </w:p>
    <w:p>
      <w:pPr>
        <w:numPr>
          <w:ilvl w:val="0"/>
          <w:numId w:val="1002"/>
        </w:numPr>
        <w:pStyle w:val="Compact"/>
      </w:pPr>
      <w:r>
        <w:t xml:space="preserve">Academic Access:His time on-task increased from 40% to 85%, allowing him to access the standard curriculum with minor modifications.</w:t>
      </w:r>
    </w:p>
    <w:p>
      <w:pPr>
        <w:numPr>
          <w:ilvl w:val="0"/>
          <w:numId w:val="1002"/>
        </w:numPr>
        <w:pStyle w:val="Compact"/>
      </w:pPr>
      <w:r>
        <w:t xml:space="preserve">School Climate:The school in</w:t>
      </w:r>
      <w:r>
        <w:t xml:space="preserve"> </w:t>
      </w:r>
      <w:hyperlink w:anchor="Xa39a3ee5e6b4b0d3255bfef95601890afd80709">
        <w:r>
          <w:rPr>
            <w:rStyle w:val="Hyperlink"/>
          </w:rPr>
          <w:t xml:space="preserve">Australia Brisbane</w:t>
        </w:r>
      </w:hyperlink>
      <w:r>
        <w:t xml:space="preserve"> </w:t>
      </w:r>
      <w:r>
        <w:t xml:space="preserve">reported a general increase in staff confidence in managing diverse learning needs, citing Ms. Jenkins’ training sessions as instrumental.</w:t>
      </w:r>
    </w:p>
    <w:p>
      <w:pPr>
        <w:pStyle w:val="FirstParagraph"/>
      </w:pPr>
      <w:r>
        <w:t xml:space="preserve">The success of this case study underscores the vital contribution of the</w:t>
      </w:r>
      <w:r>
        <w:t xml:space="preserve"> </w:t>
      </w:r>
      <w:r>
        <w:rPr>
          <w:bCs/>
          <w:b/>
        </w:rPr>
        <w:t xml:space="preserve">Special Education Teacher</w:t>
      </w:r>
      <w:r>
        <w:t xml:space="preserve">. It demonstrates that with proper support structures, which are increasingly available in cities like Brisbane, students with disabilities can thrive academically and socially.</w:t>
      </w:r>
      <w:r>
        <w:br/>
      </w:r>
    </w:p>
    <w:bookmarkEnd w:id="29"/>
    <w:bookmarkStart w:id="30" w:name="conclusion"/>
    <w:p>
      <w:pPr>
        <w:pStyle w:val="Heading2"/>
      </w:pPr>
      <w:r>
        <w:t xml:space="preserve">Conclusion</w:t>
      </w:r>
    </w:p>
    <w:p>
      <w:pPr>
        <w:pStyle w:val="FirstParagraph"/>
      </w:pPr>
      <w:r>
        <w:t xml:space="preserve">This case study illustrates that the role of a</w:t>
      </w:r>
      <w:r>
        <w:t xml:space="preserve"> </w:t>
      </w:r>
      <w:r>
        <w:rPr>
          <w:bCs/>
          <w:b/>
        </w:rPr>
        <w:t xml:space="preserve">Special Education Teacher in</w:t>
      </w:r>
      <w:r>
        <w:rPr>
          <w:bCs/>
          <w:b/>
        </w:rPr>
        <w:t xml:space="preserve"> </w:t>
      </w:r>
      <w:hyperlink w:anchor="Xa39a3ee5e6b4b0d3255bfef95601890afd80709">
        <w:r>
          <w:rPr>
            <w:rStyle w:val="Hyperlink"/>
            <w:bCs/>
            <w:b/>
          </w:rPr>
          <w:t xml:space="preserve">Australia Brisbane</w:t>
        </w:r>
      </w:hyperlink>
      <w:r>
        <w:rPr>
          <w:bCs/>
          <w:b/>
        </w:rPr>
        <w:t xml:space="preserve"> </w:t>
      </w:r>
      <w:r>
        <w:rPr>
          <w:bCs/>
          <w:b/>
        </w:rPr>
        <w:t xml:space="preserve">is dynamic, multifaceted, and essential to the equity of the education system. It goes beyond traditional teaching to encompass therapy coordination, family advocacy, staff training, and systemic change.</w:t>
      </w:r>
      <w:r>
        <w:br/>
      </w:r>
      <w:r>
        <w:br/>
      </w:r>
      <w:r>
        <w:rPr>
          <w:bCs/>
          <w:b/>
        </w:rPr>
        <w:t xml:space="preserve">In the evolving educational landscape of</w:t>
      </w:r>
      <w:r>
        <w:rPr>
          <w:bCs/>
          <w:b/>
        </w:rPr>
        <w:t xml:space="preserve"> </w:t>
      </w:r>
      <w:hyperlink w:anchor="Xa39a3ee5e6b4b0d3255bfef95601890afd80709">
        <w:r>
          <w:rPr>
            <w:rStyle w:val="Hyperlink"/>
            <w:bCs/>
            <w:b/>
          </w:rPr>
          <w:t xml:space="preserve">Australia Brisbane</w:t>
        </w:r>
      </w:hyperlink>
      <w:r>
        <w:rPr>
          <w:bCs/>
          <w:b/>
        </w:rPr>
        <w:t xml:space="preserve">, the</w:t>
      </w:r>
      <w:r>
        <w:rPr>
          <w:bCs/>
          <w:b/>
        </w:rPr>
        <w:t xml:space="preserve"> </w:t>
      </w:r>
      <w:r>
        <w:rPr>
          <w:bCs/>
          <w:b/>
          <w:bCs/>
          <w:b/>
        </w:rPr>
        <w:t xml:space="preserve">Special Education Teacher</w:t>
      </w:r>
      <w:r>
        <w:rPr>
          <w:bCs/>
          <w:b/>
        </w:rPr>
        <w:t xml:space="preserve"> </w:t>
      </w:r>
      <w:r>
        <w:rPr>
          <w:bCs/>
          <w:b/>
        </w:rPr>
        <w:t xml:space="preserve">is not just an accessory but a cornerstone of inclusive education. The challenges remain significant, particularly regarding resources and bureaucracy. However, as shown in Alex’s case, when a dedicated professional leverages local frameworks like the NDIS and departmental guidelines effectively, transformative outcomes are achievable.</w:t>
      </w:r>
      <w:r>
        <w:br/>
      </w:r>
      <w:r>
        <w:br/>
      </w:r>
      <w:r>
        <w:rPr>
          <w:bCs/>
          <w:b/>
        </w:rPr>
        <w:t xml:space="preserve">For educators and policymakers in</w:t>
      </w:r>
      <w:r>
        <w:rPr>
          <w:bCs/>
          <w:b/>
        </w:rPr>
        <w:t xml:space="preserve"> </w:t>
      </w:r>
      <w:hyperlink w:anchor="Xa39a3ee5e6b4b0d3255bfef95601890afd80709">
        <w:r>
          <w:rPr>
            <w:rStyle w:val="Hyperlink"/>
            <w:bCs/>
            <w:b/>
          </w:rPr>
          <w:t xml:space="preserve">Australia Brisbane</w:t>
        </w:r>
      </w:hyperlink>
      <w:r>
        <w:rPr>
          <w:bCs/>
          <w:b/>
        </w:rPr>
        <w:t xml:space="preserve">, this case serves as a reminder that investing in the support systems for</w:t>
      </w:r>
      <w:r>
        <w:rPr>
          <w:bCs/>
          <w:b/>
        </w:rPr>
        <w:t xml:space="preserve"> </w:t>
      </w:r>
      <w:r>
        <w:rPr>
          <w:bCs/>
          <w:b/>
          <w:bCs/>
          <w:b/>
        </w:rPr>
        <w:t xml:space="preserve">Special Education Teachers</w:t>
      </w:r>
      <w:r>
        <w:rPr>
          <w:bCs/>
          <w:b/>
        </w:rPr>
        <w:t xml:space="preserve"> </w:t>
      </w:r>
      <w:r>
        <w:rPr>
          <w:bCs/>
          <w:b/>
        </w:rPr>
        <w:t xml:space="preserve">is an investment in the future potential of every student. The model presented here provides a replicable framework for other schools seeking to enhance their inclusive practices, ensuring that all students, regardless of ability, have access to quality education.</w:t>
      </w:r>
      <w:r>
        <w:br/>
      </w:r>
    </w:p>
    <w:p>
      <w:pPr>
        <w:pStyle w:val="BodyText"/>
      </w:pPr>
      <w:r>
        <w:t xml:space="preserve">This document was prepared as a comprehensive case study on Special Education Teacher roles within the educational sector in Australia Brisbane.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Special Education Teacher in Australia Brisbane</dc:title>
  <dc:creator/>
  <dc:language>en</dc:language>
  <cp:keywords/>
  <dcterms:created xsi:type="dcterms:W3CDTF">2026-07-29T16:54:11Z</dcterms:created>
  <dcterms:modified xsi:type="dcterms:W3CDTF">2026-07-29T16:54:11Z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