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in</w:t>
      </w:r>
      <w:r>
        <w:t xml:space="preserve"> </w:t>
      </w:r>
      <w:r>
        <w:t xml:space="preserve">Australia</w:t>
      </w:r>
      <w:r>
        <w:t xml:space="preserve"> </w:t>
      </w:r>
      <w:r>
        <w:t xml:space="preserve">Melbourne</w:t>
      </w:r>
    </w:p>
    <w:bookmarkStart w:id="32" w:name="X47ea79369efdbb8d183212a907ab996eb3c23a5"/>
    <w:p>
      <w:pPr>
        <w:pStyle w:val="Heading1"/>
      </w:pPr>
      <w:r>
        <w:t xml:space="preserve">Case Study Report: The Role and Impact of a Special Education Teacher in Australia Melbourne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Victoria, Australia (Melbourne)</w:t>
      </w:r>
      <w:r>
        <w:br/>
      </w:r>
      <w:r>
        <w:rPr>
          <w:bCs/>
          <w:b/>
        </w:rPr>
        <w:t xml:space="preserve">Subject Focus:</w:t>
      </w:r>
      <w:r>
        <w:t xml:space="preserve">Inclusive Pedagogy, Curriculum Adaptation, and Student Wellbeing</w:t>
      </w:r>
      <w:r>
        <w:br/>
      </w:r>
      <w:r>
        <w:rPr>
          <w:iCs/>
          <w:i/>
        </w:rPr>
        <w:t xml:space="preserve">Note: This document anonymizes student data in strict compliance with Australian privacy laws.</w:t>
      </w:r>
    </w:p>
    <w:bookmarkStart w:id="20" w:name="executive-summary"/>
    <w:p>
      <w:pPr>
        <w:pStyle w:val="Heading2"/>
      </w:pPr>
      <w:r>
        <w:t xml:space="preserve">1. Executive Summary</w:t>
      </w:r>
    </w:p>
    <w:p>
      <w:pPr>
        <w:pStyle w:val="FirstParagraph"/>
      </w:pPr>
      <w:r>
        <w:t xml:space="preserve">This case study examines the practical application of inclusive education frameworks within a metropolitan school setting in Melbourne, Australia. It focuses on the pivotal role of a Special Education Teacher (SET) in supporting students with diverse learning needs (DLN). The document explores how the SET navigates the complex intersection of state mandates from Victoria Department of Education and individual student requirements, specifically addressing autism spectrum disorder (ASD), attention-deficit/hyperactivity disorder (ADHD), and physical disabilities. The primary objective is to demonstrate how specialized instructional strategies foster academic achievement and social inclusion in a high-performing public school environment.</w:t>
      </w:r>
    </w:p>
    <w:bookmarkEnd w:id="20"/>
    <w:bookmarkStart w:id="21" w:name="X612481241cf7d65cbc0ee7bfdea77db91b9bf18"/>
    <w:p>
      <w:pPr>
        <w:pStyle w:val="Heading2"/>
      </w:pPr>
      <w:r>
        <w:t xml:space="preserve">2. Contextual Background: Education in Melbourne, Australia</w:t>
      </w:r>
    </w:p>
    <w:p>
      <w:pPr>
        <w:pStyle w:val="FirstParagraph"/>
      </w:pPr>
      <w:r>
        <w:t xml:space="preserve">Melbourne has long been regarded as one of the world’s most liveable cities, partly due to its robust infrastructure, which includes a highly regarded public education system. In Victoria, the Department of Education is committed to the "Inclusive School Model," which aims to remove barriers to learning and participation. Within this framework, Special Education Teachers are not merely support staff but integral members of the teaching team who collaborate with classroom teachers (CTs) to differentiate curriculum for all learners.</w:t>
      </w:r>
    </w:p>
    <w:p>
      <w:pPr>
        <w:pStyle w:val="BodyText"/>
      </w:pPr>
      <w:r>
        <w:t xml:space="preserve">The Melbourne context presents unique challenges and opportunities. With a culturally diverse population, SETs in Melbourne often work with students from non-English speaking backgrounds (NESB) who may have additional cognitive or linguistic barriers. Furthermore, the competitive academic pressure prevalent in Australian schools necessitates a delicate balance between maintaining high academic standards and providing necessary accommodations to ensure equity of opportunity.</w:t>
      </w:r>
    </w:p>
    <w:bookmarkEnd w:id="21"/>
    <w:bookmarkStart w:id="22" w:name="X8449caf82203f90ec0f8679fe5f5c7eaba4a043"/>
    <w:p>
      <w:pPr>
        <w:pStyle w:val="Heading2"/>
      </w:pPr>
      <w:r>
        <w:t xml:space="preserve">3. Participant Profile: The Special Education Teacher</w:t>
      </w:r>
    </w:p>
    <w:p>
      <w:pPr>
        <w:pStyle w:val="FirstParagraph"/>
      </w:pPr>
      <w:r>
        <w:t xml:space="preserve">The subject of this case study is "Sarah," a qualified Special Education Teacher with ten years of experience in the Victorian public school sector. Sarah holds specialized credentials in Autism Spectrum Disorder and positive behaviour support (PBS). Her role involves:</w:t>
      </w:r>
    </w:p>
    <w:p>
      <w:pPr>
        <w:numPr>
          <w:ilvl w:val="0"/>
          <w:numId w:val="1001"/>
        </w:numPr>
        <w:pStyle w:val="Compact"/>
      </w:pPr>
      <w:r>
        <w:rPr>
          <w:bCs/>
          <w:b/>
        </w:rPr>
        <w:t xml:space="preserve">Coteaching:</w:t>
      </w:r>
      <w:r>
        <w:t xml:space="preserve"> </w:t>
      </w:r>
      <w:r>
        <w:t xml:space="preserve">Working alongside classroom teachers to deliver modified lessons.</w:t>
      </w:r>
    </w:p>
    <w:p>
      <w:pPr>
        <w:numPr>
          <w:ilvl w:val="0"/>
          <w:numId w:val="1001"/>
        </w:numPr>
        <w:pStyle w:val="Compact"/>
      </w:pPr>
      <w:r>
        <w:t xml:space="preserve">Casework Management:&gt; Overseeing Individual Education Plans (IEPs) and Learning Adjustment Strategies (LAS).</w:t>
      </w:r>
    </w:p>
    <w:p>
      <w:pPr>
        <w:numPr>
          <w:ilvl w:val="0"/>
          <w:numId w:val="1001"/>
        </w:numPr>
        <w:pStyle w:val="Compact"/>
      </w:pPr>
      <w:r>
        <w:t xml:space="preserve">Sensory Regulation:</w:t>
      </w:r>
    </w:p>
    <w:bookmarkEnd w:id="22"/>
    <w:bookmarkStart w:id="25" w:name="case-description-student-alex"/>
    <w:p>
      <w:pPr>
        <w:pStyle w:val="Heading2"/>
      </w:pPr>
      <w:r>
        <w:t xml:space="preserve">4. Case Description: Student "Alex"</w:t>
      </w:r>
    </w:p>
    <w:p>
      <w:pPr>
        <w:pStyle w:val="FirstParagraph"/>
      </w:pPr>
      <w:r>
        <w:t xml:space="preserve">Alex is a Year 7 student (approx. 13 years old) enrolled in a mainstream secondary school in suburban Melbourne. Alex has been diagnosed with Level 1 Autism Spectrum Disorder and Generalised Anxiety Disorder. While academically capable, Alex struggles significantly with social interaction, transitions between classes, and unstructured times such as recess and lunch.</w:t>
      </w:r>
    </w:p>
    <w:bookmarkStart w:id="23" w:name="initial-challenges"/>
    <w:p>
      <w:pPr>
        <w:pStyle w:val="Heading3"/>
      </w:pPr>
      <w:r>
        <w:t xml:space="preserve">4.1 Initial Challenges</w:t>
      </w:r>
    </w:p>
    <w:p>
      <w:pPr>
        <w:pStyle w:val="FirstParagraph"/>
      </w:pPr>
      <w:r>
        <w:t xml:space="preserve">Upon entering Year 7, the transition from primary to secondary school triggered a decline in Alex’s mental wellbeing. The sheer size of the Melbourne metropolitan campus was overwhelming, leading to frequent avoidance behaviours and occasional meltdowns during hallway transitions. Traditional punitive measures for non-compliance were ineffective and exacerbated Alex’s anxiety.</w:t>
      </w:r>
    </w:p>
    <w:bookmarkEnd w:id="23"/>
    <w:bookmarkStart w:id="24" w:name="intervention-strategy"/>
    <w:p>
      <w:pPr>
        <w:pStyle w:val="Heading3"/>
      </w:pPr>
      <w:r>
        <w:t xml:space="preserve">4.2 Intervention Strategy</w:t>
      </w:r>
    </w:p>
    <w:p>
      <w:pPr>
        <w:pStyle w:val="FirstParagraph"/>
      </w:pPr>
      <w:r>
        <w:t xml:space="preserve">Sarah, the Special Education Teacher, implemented a multi-tiered support system:</w:t>
      </w:r>
    </w:p>
    <w:p>
      <w:pPr>
        <w:numPr>
          <w:ilvl w:val="0"/>
          <w:numId w:val="1002"/>
        </w:numPr>
        <w:pStyle w:val="Compact"/>
      </w:pPr>
      <w:r>
        <w:rPr>
          <w:bCs/>
          <w:b/>
        </w:rPr>
        <w:t xml:space="preserve">Audit of Environmental Barriers:</w:t>
      </w:r>
    </w:p>
    <w:p>
      <w:pPr>
        <w:numPr>
          <w:ilvl w:val="0"/>
          <w:numId w:val="1002"/>
        </w:numPr>
        <w:pStyle w:val="Compact"/>
      </w:pPr>
      <w:r>
        <w:rPr>
          <w:bCs/>
          <w:b/>
        </w:rPr>
        <w:t xml:space="preserve">Digital Support Tools:</w:t>
      </w:r>
      <w:r>
        <w:t xml:space="preserve"> </w:t>
      </w:r>
      <w:r>
        <w:t xml:space="preserve">Recognizing Alex’s literacy strengths, Sarah introduced text-to-speech software and visual timetabling apps on Alex’s tablet. This reduced the cognitive load associated with remembering daily schedules.</w:t>
      </w:r>
    </w:p>
    <w:p>
      <w:pPr>
        <w:numPr>
          <w:ilvl w:val="0"/>
          <w:numId w:val="1002"/>
        </w:numPr>
        <w:pStyle w:val="Compact"/>
      </w:pPr>
      <w:r>
        <w:rPr>
          <w:bCs/>
          <w:b/>
        </w:rPr>
        <w:t xml:space="preserve">Social Scripting and Peer Mentoring:</w:t>
      </w:r>
      <w:r>
        <w:t xml:space="preserve"> </w:t>
      </w:r>
      <w:r>
        <w:t xml:space="preserve">Sarah developed social scripts—concise guides explaining expected social interactions—for common scenarios like asking a teacher for help or joining a group project. Additionally, she identified two empathetic peers to act as "buddy mentors" during unstructured times.</w:t>
      </w:r>
    </w:p>
    <w:p>
      <w:pPr>
        <w:numPr>
          <w:ilvl w:val="0"/>
          <w:numId w:val="1002"/>
        </w:numPr>
        <w:pStyle w:val="Compact"/>
      </w:pPr>
      <w:r>
        <w:rPr>
          <w:bCs/>
          <w:b/>
        </w:rPr>
        <w:t xml:space="preserve">Differentiated Curriculum:</w:t>
      </w:r>
    </w:p>
    <w:bookmarkEnd w:id="24"/>
    <w:bookmarkEnd w:id="25"/>
    <w:bookmarkStart w:id="26" w:name="outcomes-and-impact-analysis"/>
    <w:p>
      <w:pPr>
        <w:pStyle w:val="Heading2"/>
      </w:pPr>
      <w:r>
        <w:t xml:space="preserve">5. Outcomes and Impact Analysis</w:t>
      </w:r>
    </w:p>
    <w:p>
      <w:pPr>
        <w:pStyle w:val="FirstParagraph"/>
      </w:pPr>
      <w:r>
        <w:t xml:space="preserve">Six months into the intervention, measurable improvements were observed in Alex’s engagement and wellbeing metrics:</w:t>
      </w:r>
    </w:p>
    <w:p>
      <w:pPr>
        <w:numPr>
          <w:ilvl w:val="0"/>
          <w:numId w:val="1003"/>
        </w:numPr>
        <w:pStyle w:val="Compact"/>
      </w:pPr>
      <w:r>
        <w:rPr>
          <w:bCs/>
          <w:b/>
        </w:rPr>
        <w:t xml:space="preserve">Academic Progress:</w:t>
      </w:r>
    </w:p>
    <w:p>
      <w:pPr>
        <w:numPr>
          <w:ilvl w:val="0"/>
          <w:numId w:val="1003"/>
        </w:numPr>
        <w:pStyle w:val="Compact"/>
      </w:pPr>
      <w:r>
        <w:rPr>
          <w:bCs/>
          <w:b/>
        </w:rPr>
        <w:t xml:space="preserve">Social Integration:</w:t>
      </w:r>
    </w:p>
    <w:p>
      <w:pPr>
        <w:numPr>
          <w:ilvl w:val="0"/>
          <w:numId w:val="1003"/>
        </w:numPr>
        <w:pStyle w:val="Compact"/>
      </w:pPr>
      <w:r>
        <w:rPr>
          <w:bCs/>
          <w:b/>
        </w:rPr>
        <w:t xml:space="preserve">Behavioral Stability:</w:t>
      </w:r>
      <w:r>
        <w:t xml:space="preserve"> </w:t>
      </w:r>
      <w:r>
        <w:t xml:space="preserve">The number of disciplinary incidents dropped to zero. Instead, the school recorded "de-escalation successes," where Alex used coping strategies taught by Sarah to manage anxiety independently.</w:t>
      </w:r>
    </w:p>
    <w:bookmarkEnd w:id="26"/>
    <w:bookmarkStart w:id="29" w:name="Xe7fe439a25beb54ccc3341a405c92a9c6e065bc"/>
    <w:p>
      <w:pPr>
        <w:pStyle w:val="Heading2"/>
      </w:pPr>
      <w:r>
        <w:t xml:space="preserve">6. Discussion: The Australian Context and Systemic Implications</w:t>
      </w:r>
    </w:p>
    <w:p>
      <w:pPr>
        <w:pStyle w:val="FirstParagraph"/>
      </w:pPr>
      <w:r>
        <w:t xml:space="preserve">This case study highlights the critical necessity of specialized training for educators in Australia. In Melbourne, the shift towards inclusive education requires more than just placing students with disabilities in mainstream classrooms; it demands a cultural shift among staff.</w:t>
      </w:r>
    </w:p>
    <w:bookmarkStart w:id="27" w:name="collaboration-as-key"/>
    <w:p>
      <w:pPr>
        <w:pStyle w:val="Heading3"/>
      </w:pPr>
      <w:r>
        <w:t xml:space="preserve">6.1 Collaboration as Key</w:t>
      </w:r>
    </w:p>
    <w:p>
      <w:pPr>
        <w:pStyle w:val="FirstParagraph"/>
      </w:pPr>
      <w:r>
        <w:t xml:space="preserve">The success of this case relied heavily on the collaboration between the Special Education Teacher and classroom teachers. In the Australian system, resources are finite, making efficient teamwork essential. Sarah did not work in isolation; she trained her colleagues to recognize early signs of anxiety, thereby embedding support throughout the school day rather than pulling Alex out for remedial sessions.</w:t>
      </w:r>
    </w:p>
    <w:bookmarkEnd w:id="27"/>
    <w:bookmarkStart w:id="28" w:name="funding-and-policy"/>
    <w:p>
      <w:pPr>
        <w:pStyle w:val="Heading3"/>
      </w:pPr>
      <w:r>
        <w:t xml:space="preserve">6.2 Funding and Policy</w:t>
      </w:r>
    </w:p>
    <w:p>
      <w:pPr>
        <w:pStyle w:val="FirstParagraph"/>
      </w:pPr>
      <w:r>
        <w:t xml:space="preserve">The interventions were supported by Australia’s Disability Support Package (DSP), which allocates funding based on student need. However, case studies like this reveal gaps in immediate access to resources. Delays in official assessment often mean students like Alex wait months for formalised support plans. This underscores the need for faster processing times within the Victorian Department of Education framework.</w:t>
      </w:r>
    </w:p>
    <w:bookmarkEnd w:id="28"/>
    <w:bookmarkEnd w:id="29"/>
    <w:bookmarkStart w:id="30" w:name="recommendations"/>
    <w:p>
      <w:pPr>
        <w:pStyle w:val="Heading2"/>
      </w:pPr>
      <w:r>
        <w:t xml:space="preserve">7. Recommendations</w:t>
      </w:r>
    </w:p>
    <w:p>
      <w:pPr>
        <w:pStyle w:val="FirstParagraph"/>
      </w:pPr>
      <w:r>
        <w:t xml:space="preserve">Based on this case study, several recommendations are proposed for educational institutions in Australia Melbourne:</w:t>
      </w:r>
    </w:p>
    <w:p>
      <w:pPr>
        <w:numPr>
          <w:ilvl w:val="0"/>
          <w:numId w:val="1004"/>
        </w:numPr>
        <w:pStyle w:val="Compact"/>
      </w:pPr>
      <w:r>
        <w:rPr>
          <w:bCs/>
          <w:b/>
        </w:rPr>
        <w:t xml:space="preserve">Mandatory Inclusive Training:</w:t>
      </w:r>
    </w:p>
    <w:p>
      <w:pPr>
        <w:numPr>
          <w:ilvl w:val="0"/>
          <w:numId w:val="1004"/>
        </w:numPr>
        <w:pStyle w:val="Compact"/>
      </w:pPr>
      <w:r>
        <w:rPr>
          <w:bCs/>
          <w:b/>
        </w:rPr>
        <w:t xml:space="preserve">Early Identification Protocols:</w:t>
      </w:r>
    </w:p>
    <w:p>
      <w:pPr>
        <w:numPr>
          <w:ilvl w:val="0"/>
          <w:numId w:val="1004"/>
        </w:numPr>
        <w:pStyle w:val="Compact"/>
      </w:pPr>
      <w:r>
        <w:rPr>
          <w:bCs/>
          <w:b/>
        </w:rPr>
        <w:t xml:space="preserve">Digital Infrastructure Investment:</w:t>
      </w:r>
    </w:p>
    <w:p>
      <w:pPr>
        <w:numPr>
          <w:ilvl w:val="0"/>
          <w:numId w:val="1004"/>
        </w:numPr>
        <w:pStyle w:val="Compact"/>
      </w:pPr>
      <w:r>
        <w:rPr>
          <w:bCs/>
          <w:b/>
        </w:rPr>
        <w:t xml:space="preserve">Mental Health Integration:</w:t>
      </w:r>
    </w:p>
    <w:bookmarkEnd w:id="30"/>
    <w:bookmarkStart w:id="31" w:name="conclusion"/>
    <w:p>
      <w:pPr>
        <w:pStyle w:val="Heading2"/>
      </w:pPr>
      <w:r>
        <w:t xml:space="preserve">8. Conclusion</w:t>
      </w:r>
    </w:p>
    <w:p>
      <w:pPr>
        <w:pStyle w:val="FirstParagraph"/>
      </w:pPr>
      <w:r>
        <w:t xml:space="preserve">The role of the Special Education Teacher in Melbourne is multifaceted, requiring skills in pedagogy, psychology, advocacy, and administrative coordination. This case study demonstrates that when dedicated professionals like Sarah are empowered with appropriate resources and collaborative frameworks, students with disabilities can not only survive but thrive in mainstream educational environments. The Australian commitment to inclusive education is evident in the structures put in place, but continuous improvement through targeted professional development and resource allocation remains vital to ensuring equity for all learners.</w:t>
      </w:r>
    </w:p>
    <w:p>
      <w:r>
        <w:pict>
          <v:rect style="width:0;height:1.5pt" o:hralign="center" o:hrstd="t" o:hr="t"/>
        </w:pict>
      </w:r>
    </w:p>
    <w:p>
      <w:pPr>
        <w:pStyle w:val="FirstParagraph"/>
      </w:pPr>
      <w:r>
        <w:rPr>
          <w:iCs/>
          <w:i/>
        </w:rPr>
        <w:t xml:space="preserve">This document is intended for educational purposes and reflects general practices within the Victorian school system as of 2023. Specific policies may vary by individual school campuses.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in Australia Melbourne</dc:title>
  <dc:creator/>
  <dc:language>en</dc:language>
  <cp:keywords/>
  <dcterms:created xsi:type="dcterms:W3CDTF">2026-07-29T06:09:42Z</dcterms:created>
  <dcterms:modified xsi:type="dcterms:W3CDTF">2026-07-29T06:09:42Z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