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Sydney</w:t>
      </w:r>
    </w:p>
    <w:bookmarkStart w:id="26" w:name="X67204517be1f12e0fbab01b17b39acdeaf0b143"/>
    <w:p>
      <w:pPr>
        <w:pStyle w:val="Heading1"/>
      </w:pPr>
      <w:r>
        <w:t xml:space="preserve">Case Study: Navigating Inclusive Education as a Special Education Teacher in Australia Sydney</w:t>
      </w:r>
    </w:p>
    <w:p>
      <w:pPr>
        <w:pStyle w:val="FirstParagraph"/>
      </w:pPr>
      <w:r>
        <w:rPr>
          <w:bCs/>
          <w:b/>
        </w:rPr>
        <w:t xml:space="preserve">Date:</w:t>
      </w:r>
      <w:r>
        <w:t xml:space="preserve"> </w:t>
      </w:r>
      <w:r>
        <w:t xml:space="preserve">October 24, 2023</w:t>
      </w:r>
      <w:r>
        <w:br/>
      </w:r>
      <w:r>
        <w:rPr>
          <w:bCs/>
          <w:b/>
        </w:rPr>
        <w:t xml:space="preserve">Location:</w:t>
      </w:r>
    </w:p>
    <w:p>
      <w:pPr>
        <w:pStyle w:val="BodyText"/>
      </w:pPr>
      <w:r>
        <w:t xml:space="preserve">Sydney, New South Wales, Australia</w:t>
      </w:r>
      <w:r>
        <w:br/>
      </w:r>
    </w:p>
    <w:p>
      <w:pPr>
        <w:pStyle w:val="BodyText"/>
      </w:pPr>
      <w:r>
        <w:t xml:space="preserve">Status: Completed Analysis</w:t>
      </w:r>
      <w:r>
        <w:br/>
      </w:r>
    </w:p>
    <w:bookmarkStart w:id="20" w:name="Xe6a4e44bd231a0f0c42471d82333c5d5089116f"/>
    <w:p>
      <w:pPr>
        <w:pStyle w:val="Heading2"/>
      </w:pPr>
      <w:r>
        <w:t xml:space="preserve">The Context of the Role in Australia Sydney</w:t>
      </w:r>
    </w:p>
    <w:p>
      <w:pPr>
        <w:pStyle w:val="FirstParagraph"/>
      </w:pPr>
      <w:r>
        <w:t xml:space="preserve">The landscape of special education in Australia has undergone significant transformation over the last decade. Nowhere is this more evident than in</w:t>
      </w:r>
      <w:r>
        <w:t xml:space="preserve"> </w:t>
      </w:r>
      <w:r>
        <w:rPr>
          <w:bCs/>
          <w:b/>
        </w:rPr>
        <w:t xml:space="preserve">Sydney, Australia</w:t>
      </w:r>
      <w:r>
        <w:t xml:space="preserve">, a city characterized by its diverse population and rigorous educational standards. For a</w:t>
      </w:r>
      <w:r>
        <w:t xml:space="preserve"> </w:t>
      </w:r>
      <w:r>
        <w:rPr>
          <w:bCs/>
          <w:b/>
        </w:rPr>
        <w:t xml:space="preserve">Special Education Teacher</w:t>
      </w:r>
      <w:r>
        <w:t xml:space="preserve"> </w:t>
      </w:r>
      <w:r>
        <w:t xml:space="preserve">working within this specific geographic and cultural context, the role is not merely about delivering curriculum adjustments; it is about navigating a complex ecosystem of government policies, community expectations, and individual student needs.</w:t>
      </w:r>
      <w:r>
        <w:t xml:space="preserve"> </w:t>
      </w:r>
      <w:r>
        <w:t xml:space="preserve">This case study examines the professional journey of "Sarah," an experienced</w:t>
      </w:r>
      <w:r>
        <w:t xml:space="preserve"> </w:t>
      </w:r>
      <w:r>
        <w:rPr>
          <w:bCs/>
          <w:b/>
        </w:rPr>
        <w:t xml:space="preserve">Special Education Teacher</w:t>
      </w:r>
      <w:r>
        <w:t xml:space="preserve"> </w:t>
      </w:r>
      <w:r>
        <w:t xml:space="preserve">employed at a primary school in the Inner West region of</w:t>
      </w:r>
      <w:r>
        <w:t xml:space="preserve"> </w:t>
      </w:r>
      <w:r>
        <w:rPr>
          <w:bCs/>
          <w:b/>
        </w:rPr>
        <w:t xml:space="preserve">Sydney, Australia</w:t>
      </w:r>
      <w:r>
        <w:t xml:space="preserve">. Sarah’s experience highlights the unique challenges and opportunities inherent in this role. The focus is on how she integrates Australian Curriculum requirements with individualized learning plans while managing the high-stress environment typical of modern urban schools in</w:t>
      </w:r>
      <w:r>
        <w:t xml:space="preserve"> </w:t>
      </w:r>
      <w:r>
        <w:rPr>
          <w:bCs/>
          <w:b/>
        </w:rPr>
        <w:t xml:space="preserve">Sydney</w:t>
      </w:r>
      <w:r>
        <w:t xml:space="preserve">.</w:t>
      </w:r>
    </w:p>
    <w:bookmarkEnd w:id="20"/>
    <w:bookmarkStart w:id="21" w:name="student-profile-and-initial-challenges"/>
    <w:p>
      <w:pPr>
        <w:pStyle w:val="Heading2"/>
      </w:pPr>
      <w:r>
        <w:t xml:space="preserve">Student Profile and Initial Challenges</w:t>
      </w:r>
    </w:p>
    <w:p>
      <w:pPr>
        <w:pStyle w:val="FirstParagraph"/>
      </w:pPr>
      <w:r>
        <w:t xml:space="preserve">Sarah’s caseload typically includes students diagnosed with Autism Spectrum Disorder (ASD), Attention Deficit Hyperactivity Disorder (ADHD), and specific learning difficulties such as dyslexia. In the context of</w:t>
      </w:r>
      <w:r>
        <w:t xml:space="preserve"> </w:t>
      </w:r>
      <w:r>
        <w:rPr>
          <w:bCs/>
          <w:b/>
        </w:rPr>
        <w:t xml:space="preserve">Sydney, Australia</w:t>
      </w:r>
      <w:r>
        <w:t xml:space="preserve">, these diagnoses are increasingly common due to better screening processes and higher community awareness. However, this also means that resources are often stretched thin across public schools in metropolitan areas.</w:t>
      </w:r>
      <w:r>
        <w:t xml:space="preserve"> </w:t>
      </w:r>
      <w:r>
        <w:t xml:space="preserve">One particular case involved "Leo," a Year 4 student who exhibited severe sensory processing issues and communication delays. Leo’s family had recently relocated to</w:t>
      </w:r>
      <w:r>
        <w:t xml:space="preserve"> </w:t>
      </w:r>
      <w:r>
        <w:rPr>
          <w:bCs/>
          <w:b/>
        </w:rPr>
        <w:t xml:space="preserve">Sydney</w:t>
      </w:r>
      <w:r>
        <w:t xml:space="preserve"> </w:t>
      </w:r>
      <w:r>
        <w:t xml:space="preserve">from regional New South Wales, adding a layer of transitional stress to his existing behavioral challenges. The primary objective for Sarah was not only academic engagement but also emotional regulation and social integration within the mainstream classroom setting in</w:t>
      </w:r>
      <w:r>
        <w:t xml:space="preserve"> </w:t>
      </w:r>
      <w:r>
        <w:rPr>
          <w:bCs/>
          <w:b/>
        </w:rPr>
        <w:t xml:space="preserve">Sydney</w:t>
      </w:r>
      <w:r>
        <w:t xml:space="preserve">.</w:t>
      </w:r>
      <w:r>
        <w:t xml:space="preserve"> </w:t>
      </w:r>
      <w:r>
        <w:t xml:space="preserve">The initial assessment revealed that Leo struggled with unstructured times, such as recess and lunch breaks. In</w:t>
      </w:r>
      <w:r>
        <w:t xml:space="preserve"> </w:t>
      </w:r>
      <w:r>
        <w:rPr>
          <w:bCs/>
          <w:b/>
        </w:rPr>
        <w:t xml:space="preserve">Sydney’s</w:t>
      </w:r>
      <w:r>
        <w:t xml:space="preserve"> </w:t>
      </w:r>
      <w:r>
        <w:t xml:space="preserve">often warm climate, outdoor play is a significant part of the school day, making sensory overload a frequent trigger for behavioral outbursts. As a</w:t>
      </w:r>
      <w:r>
        <w:t xml:space="preserve"> </w:t>
      </w:r>
      <w:r>
        <w:rPr>
          <w:bCs/>
          <w:b/>
        </w:rPr>
        <w:t xml:space="preserve">Special Education Teacher</w:t>
      </w:r>
      <w:r>
        <w:t xml:space="preserve">, Sarah recognized that standard behavioral interventions would fail without addressing the environmental triggers specific to Leo’s neurodivergence.</w:t>
      </w:r>
    </w:p>
    <w:bookmarkEnd w:id="21"/>
    <w:bookmarkStart w:id="22" w:name="X9c3672a92d28cda76e2b531e03a66421be28810"/>
    <w:p>
      <w:pPr>
        <w:pStyle w:val="Heading2"/>
      </w:pPr>
      <w:r>
        <w:t xml:space="preserve">Strategic Implementation in an Australian Context</w:t>
      </w:r>
    </w:p>
    <w:p>
      <w:pPr>
        <w:pStyle w:val="FirstParagraph"/>
      </w:pPr>
      <w:r>
        <w:t xml:space="preserve">To address Leo’s needs, Sarah employed a multi-tiered support system aligned with the Australian Government’s Disability Standards for Education 2005. This framework mandates that educational providers must make reasonable adjustments to ensure students with disabilities can participate on the same basis as their peers. In</w:t>
      </w:r>
      <w:r>
        <w:t xml:space="preserve"> </w:t>
      </w:r>
      <w:r>
        <w:rPr>
          <w:bCs/>
          <w:b/>
        </w:rPr>
        <w:t xml:space="preserve">Sydney</w:t>
      </w:r>
      <w:r>
        <w:t xml:space="preserve">, this often involves close collaboration between</w:t>
      </w:r>
      <w:r>
        <w:t xml:space="preserve"> </w:t>
      </w:r>
      <w:r>
        <w:rPr>
          <w:bCs/>
          <w:b/>
        </w:rPr>
        <w:t xml:space="preserve">Special Education Teachers&lt;, mainstream classroom teachers, and support staff like Speech Pathologists and Occupational Therapists.</w:t>
      </w:r>
      <w:r>
        <w:rPr>
          <w:bCs/>
          <w:b/>
        </w:rPr>
        <w:t xml:space="preserve"> </w:t>
      </w:r>
      <w:r>
        <w:rPr>
          <w:bCs/>
          <w:b/>
        </w:rPr>
        <w:t xml:space="preserve">Sarah implemented a "Visual Schedule" system, which is a best practice widely recognized in Australian special education frameworks. She collaborated with the mainstream teacher to create a structured routine that clearly indicated transitions between activities. Furthermore, she negotiated a "Sensory Break Room" access policy with the school administration—a common but sometimes contentious request in</w:t>
      </w:r>
      <w:r>
        <w:rPr>
          <w:bCs/>
          <w:b/>
        </w:rPr>
        <w:t xml:space="preserve"> </w:t>
      </w:r>
      <w:r>
        <w:rPr>
          <w:bCs/>
          <w:b/>
          <w:bCs/>
          <w:b/>
        </w:rPr>
        <w:t xml:space="preserve">Sydney</w:t>
      </w:r>
      <w:r>
        <w:rPr>
          <w:bCs/>
          <w:b/>
        </w:rPr>
        <w:t xml:space="preserve"> </w:t>
      </w:r>
      <w:r>
        <w:rPr>
          <w:bCs/>
          <w:b/>
        </w:rPr>
        <w:t xml:space="preserve">schools due to space limitations.</w:t>
      </w:r>
      <w:r>
        <w:rPr>
          <w:bCs/>
          <w:b/>
        </w:rPr>
        <w:t xml:space="preserve"> </w:t>
      </w:r>
      <w:r>
        <w:rPr>
          <w:bCs/>
          <w:b/>
        </w:rPr>
        <w:t xml:space="preserve">A critical component of her strategy was engaging Leo’s parents. In</w:t>
      </w:r>
      <w:r>
        <w:rPr>
          <w:bCs/>
          <w:b/>
        </w:rPr>
        <w:t xml:space="preserve"> </w:t>
      </w:r>
      <w:r>
        <w:rPr>
          <w:bCs/>
          <w:b/>
          <w:bCs/>
          <w:b/>
        </w:rPr>
        <w:t xml:space="preserve">Sydney</w:t>
      </w:r>
      <w:r>
        <w:rPr>
          <w:bCs/>
          <w:b/>
        </w:rPr>
        <w:t xml:space="preserve">, parental engagement is highly valued, but it can be challenging for families dealing with high-support needs due to work pressures and the cost of living in the city. Sarah established a daily digital communication log, allowing Leo’s parents to provide feedback on his sleep quality and morning routine, which directly impacted his classroom behavior. This partnership model is essential for success in the</w:t>
      </w:r>
      <w:r>
        <w:rPr>
          <w:bCs/>
          <w:b/>
        </w:rPr>
        <w:t xml:space="preserve"> </w:t>
      </w:r>
      <w:r>
        <w:rPr>
          <w:bCs/>
          <w:b/>
          <w:bCs/>
          <w:b/>
        </w:rPr>
        <w:t xml:space="preserve">Special Education Teacher</w:t>
      </w:r>
      <w:r>
        <w:rPr>
          <w:bCs/>
          <w:b/>
        </w:rPr>
        <w:t xml:space="preserve"> </w:t>
      </w:r>
      <w:r>
        <w:rPr>
          <w:bCs/>
          <w:b/>
        </w:rPr>
        <w:t xml:space="preserve">role within Australia’s community-focused education sector.</w:t>
      </w:r>
    </w:p>
    <w:bookmarkEnd w:id="22"/>
    <w:bookmarkStart w:id="23" w:name="X06dfc5e00cb4250a66a6bba6beb99dbbb981048"/>
    <w:p>
      <w:pPr>
        <w:pStyle w:val="Heading2"/>
      </w:pPr>
      <w:r>
        <w:t xml:space="preserve">Navigating Bureaucracy and Funding in Australia Sydney</w:t>
      </w:r>
    </w:p>
    <w:p>
      <w:pPr>
        <w:pStyle w:val="FirstParagraph"/>
      </w:pPr>
      <w:r>
        <w:t xml:space="preserve">One of the most significant aspects of being a</w:t>
      </w:r>
      <w:r>
        <w:t xml:space="preserve"> </w:t>
      </w:r>
      <w:r>
        <w:rPr>
          <w:bCs/>
          <w:b/>
        </w:rPr>
        <w:t xml:space="preserve">Special Education TeacherSydney, Australia</w:t>
      </w:r>
      <w:r>
        <w:t xml:space="preserve">, is managing funding models such as the Schooling Resource Standard (SRS) and targeted support packages. In recent years, there has been a shift towards more equitable funding models in New South Wales schools. Sarah had to meticulously document Leo’s progress and needs to justify continued high-level funding from the NSW Department of Education.</w:t>
      </w:r>
      <w:r>
        <w:t xml:space="preserve"> </w:t>
      </w:r>
      <w:r>
        <w:t xml:space="preserve">This bureaucratic burden is a distinct characteristic of the role in</w:t>
      </w:r>
      <w:r>
        <w:t xml:space="preserve"> </w:t>
      </w:r>
      <w:r>
        <w:rPr>
          <w:bCs/>
          <w:b/>
        </w:rPr>
        <w:t xml:space="preserve">Australia</w:t>
      </w:r>
      <w:r>
        <w:t xml:space="preserve">. Teachers must balance direct instruction with extensive administrative duties, including writing reports for government audits and coordinating with external agencies. In</w:t>
      </w:r>
      <w:r>
        <w:t xml:space="preserve"> </w:t>
      </w:r>
      <w:r>
        <w:rPr>
          <w:bCs/>
          <w:b/>
        </w:rPr>
        <w:t xml:space="preserve">Sydney</w:t>
      </w:r>
      <w:r>
        <w:t xml:space="preserve">, where school populations are dense and diverse, this administrative load can lead to burnout if not managed effectively. Sarah utilized professional learning communities within her school to share documentation templates, a strategy that proved effective in reducing workload while maintaining compliance with Australian standards.</w:t>
      </w:r>
      <w:r>
        <w:t xml:space="preserve"> </w:t>
      </w:r>
      <w:r>
        <w:t xml:space="preserve">Furthermore, cultural diversity in</w:t>
      </w:r>
      <w:r>
        <w:t xml:space="preserve"> </w:t>
      </w:r>
      <w:r>
        <w:rPr>
          <w:bCs/>
          <w:b/>
        </w:rPr>
        <w:t xml:space="preserve">Sydney</w:t>
      </w:r>
      <w:r>
        <w:t xml:space="preserve"> </w:t>
      </w:r>
      <w:r>
        <w:t xml:space="preserve">means that</w:t>
      </w:r>
      <w:r>
        <w:t xml:space="preserve"> </w:t>
      </w:r>
      <w:r>
        <w:rPr>
          <w:bCs/>
          <w:b/>
        </w:rPr>
        <w:t xml:space="preserve">Special Education TeachersSydney’s</w:t>
      </w:r>
      <w:r>
        <w:t xml:space="preserve"> </w:t>
      </w:r>
      <w:r>
        <w:t xml:space="preserve">multicultural landscape, where a significant portion of students come from non-English speaking backgrounds.</w:t>
      </w:r>
    </w:p>
    <w:bookmarkEnd w:id="23"/>
    <w:bookmarkStart w:id="24" w:name="outcomes-and-long-term-impact"/>
    <w:p>
      <w:pPr>
        <w:pStyle w:val="Heading2"/>
      </w:pPr>
      <w:r>
        <w:t xml:space="preserve">Outcomes and Long-Term Impact</w:t>
      </w:r>
    </w:p>
    <w:p>
      <w:pPr>
        <w:pStyle w:val="FirstParagraph"/>
      </w:pPr>
      <w:r>
        <w:t xml:space="preserve">After six months of targeted intervention, Leo showed marked improvement. His behavioral incidents decreased by 60%, and he began participating in small-group activities during recess. Academically, he met the adjusted learning outcomes set out in his Individual Learning Plan (ILP). The success of this case study underscores the importance of a holistic approach to</w:t>
      </w:r>
      <w:r>
        <w:t xml:space="preserve"> </w:t>
      </w:r>
      <w:r>
        <w:rPr>
          <w:bCs/>
          <w:b/>
        </w:rPr>
        <w:t xml:space="preserve">Special Education TeacherSydney</w:t>
      </w:r>
      <w:r>
        <w:t xml:space="preserve">.</w:t>
      </w:r>
      <w:r>
        <w:t xml:space="preserve"> </w:t>
      </w:r>
      <w:r>
        <w:t xml:space="preserve">However, the story does not end with Leo’s progress. The broader impact was seen in the school culture. Sarah’s advocacy for sensory-friendly spaces led to policy changes that benefited other students across</w:t>
      </w:r>
      <w:r>
        <w:t xml:space="preserve"> </w:t>
      </w:r>
      <w:r>
        <w:rPr>
          <w:bCs/>
          <w:b/>
        </w:rPr>
        <w:t xml:space="preserve">Sydney, Australia</w:t>
      </w:r>
      <w:r>
        <w:t xml:space="preserve">. Her work demonstrated that inclusive education is not just about individual support but about creating an environment where diversity is accommodated systematically.</w:t>
      </w:r>
      <w:r>
        <w:t xml:space="preserve"> </w:t>
      </w:r>
      <w:r>
        <w:t xml:space="preserve">For a</w:t>
      </w:r>
      <w:r>
        <w:t xml:space="preserve"> </w:t>
      </w:r>
      <w:r>
        <w:rPr>
          <w:bCs/>
          <w:b/>
        </w:rPr>
        <w:t xml:space="preserve">Special Education TeacherAustralia&lt;, particularly in a major hub like</w:t>
      </w:r>
      <w:r>
        <w:rPr>
          <w:bCs/>
          <w:b/>
        </w:rPr>
        <w:t xml:space="preserve"> </w:t>
      </w:r>
      <w:r>
        <w:rPr>
          <w:bCs/>
          <w:b/>
          <w:bCs/>
          <w:b/>
        </w:rPr>
        <w:t xml:space="preserve">Sydney, the role requires resilience, adaptability, and deep empathy. It demands proficiency in both pedagogical strategies and administrative navigation. The case of Sarah illustrates that while challenges such as high workloads and complex funding structures exist, the potential for transformative impact on students’ lives is profound.</w:t>
      </w:r>
    </w:p>
    <w:bookmarkEnd w:id="24"/>
    <w:bookmarkStart w:id="25" w:name="conclusion"/>
    <w:p>
      <w:pPr>
        <w:pStyle w:val="Heading2"/>
      </w:pPr>
      <w:r>
        <w:t xml:space="preserve">Conclusion</w:t>
      </w:r>
    </w:p>
    <w:p>
      <w:pPr>
        <w:pStyle w:val="FirstParagraph"/>
      </w:pPr>
      <w:r>
        <w:t xml:space="preserve">This case study highlights that effective special education in</w:t>
      </w:r>
      <w:r>
        <w:t xml:space="preserve"> </w:t>
      </w:r>
      <w:r>
        <w:rPr>
          <w:bCs/>
          <w:b/>
        </w:rPr>
        <w:t xml:space="preserve">Sydney, Australia</w:t>
      </w:r>
      <w:r>
        <w:t xml:space="preserve">, relies on a synergy between individualized care, cultural competence, and systemic advocacy. The</w:t>
      </w:r>
      <w:r>
        <w:t xml:space="preserve"> </w:t>
      </w:r>
      <w:r>
        <w:rPr>
          <w:bCs/>
          <w:b/>
        </w:rPr>
        <w:t xml:space="preserve">Special Education TeacherAustralia</w:t>
      </w:r>
      <w:r>
        <w:t xml:space="preserve"> </w:t>
      </w:r>
      <w:r>
        <w:t xml:space="preserve">must focus on reducing administrative burdens and increasing resources, ensuring that teachers like Sarah can focus on what matters most: the students.</w:t>
      </w:r>
      <w:r>
        <w:t xml:space="preserve"> </w:t>
      </w:r>
      <w:r>
        <w:t xml:space="preserve">Ultimately, the role of a</w:t>
      </w:r>
    </w:p>
    <w:p>
      <w:pPr>
        <w:pStyle w:val="BodyText"/>
      </w:pPr>
      <w:r>
        <w:t xml:space="preserve">Special Education TeacherSydney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Australia Sydney</dc:title>
  <dc:creator/>
  <dc:language>en</dc:language>
  <cp:keywords/>
  <dcterms:created xsi:type="dcterms:W3CDTF">2026-07-29T04:48:43Z</dcterms:created>
  <dcterms:modified xsi:type="dcterms:W3CDTF">2026-07-29T04:48:43Z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