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Tokyo</w:t>
      </w:r>
    </w:p>
    <w:bookmarkStart w:id="31" w:name="X7e5a8dbc58b3a8836d7bc6ab2386f90df7d04b4"/>
    <w:p>
      <w:pPr>
        <w:pStyle w:val="Heading1"/>
      </w:pPr>
      <w:r>
        <w:t xml:space="preserve">Case Study: Navigating the Role of a Special Education Teacher in Japan Tokyo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Tokyo, Japan</w:t>
      </w:r>
      <w:r>
        <w:br/>
      </w:r>
      <w:r>
        <w:br/>
      </w:r>
      <w:r>
        <w:rPr>
          <w:bCs/>
          <w:b/>
        </w:rPr>
        <w:t xml:space="preserve">Educator Profile:</w:t>
      </w:r>
      <w:r>
        <w:t xml:space="preserve">"Ms. Elena Sato" (Pseudonym), a certified Special Education Teacher with five years of experience working within the Japanese public school system.</w:t>
      </w:r>
    </w:p>
    <w:bookmarkStart w:id="20" w:name="introduction-and-context"/>
    <w:p>
      <w:pPr>
        <w:pStyle w:val="Heading2"/>
      </w:pPr>
      <w:r>
        <w:t xml:space="preserve">1. Introduction and Context</w:t>
      </w:r>
    </w:p>
    <w:p>
      <w:pPr>
        <w:pStyle w:val="FirstParagraph"/>
      </w:pPr>
      <w:r>
        <w:t xml:space="preserve">The landscape of education in Japan Tokyo has undergone significant transformation over the past two decades, driven by demographic shifts, globalization, and a growing awareness of neurodiversity. As one of the most densely populated urban centers in the world, Tokyo presents unique challenges and opportunities for inclusive education. This case study examines the professional journey, pedagogical strategies, and systemic challenges faced by a Special Education Teacher operating within this complex metropolitan environment.</w:t>
      </w:r>
    </w:p>
    <w:p>
      <w:pPr>
        <w:pStyle w:val="BodyText"/>
      </w:pPr>
      <w:r>
        <w:t xml:space="preserve">The role of a Special Education Teacher in Japan Tokyo is distinct from their counterparts in Western nations. It requires not only specialized instructional skills but also deep cultural competency and an understanding of the specific legal frameworks governing special needs education in Japan. This document explores how Ms. Sato navigates these waters to support students with diverse learning needs.</w:t>
      </w:r>
    </w:p>
    <w:bookmarkEnd w:id="20"/>
    <w:bookmarkStart w:id="22" w:name="X73c3f2b1a5bfb496ad5b7ef5aed72ad40d7ef9c"/>
    <w:p>
      <w:pPr>
        <w:pStyle w:val="Heading2"/>
      </w:pPr>
      <w:r>
        <w:t xml:space="preserve">2. Professional Background and Systemic Framework</w:t>
      </w:r>
    </w:p>
    <w:p>
      <w:pPr>
        <w:pStyle w:val="FirstParagraph"/>
      </w:pPr>
      <w:r>
        <w:t xml:space="preserve">In Japan, special education is governed by the Special Support Education Act, which emphasizes inclusion within regular classrooms where possible. However, in Tokyo, the sheer volume of students often necessitates specialized support classes or resource rooms. Ms. Sato works at a primary school in the Setagaya ward of Tokyo.</w:t>
      </w:r>
    </w:p>
    <w:bookmarkStart w:id="21" w:name="the-dual-role"/>
    <w:p>
      <w:pPr>
        <w:pStyle w:val="Heading3"/>
      </w:pPr>
      <w:r>
        <w:t xml:space="preserve">The Dual Role</w:t>
      </w:r>
    </w:p>
    <w:p>
      <w:pPr>
        <w:pStyle w:val="FirstParagraph"/>
      </w:pPr>
      <w:r>
        <w:t xml:space="preserve">Ms. Sato operates under a dual mandate: she is responsible for direct instruction in a small-group setting and serves as a consultant to general education teachers. This "special support teacher" model requires her to bridge the gap between specialized intervention and mainstream classroom dynamics. Unlike the more segregated systems seen in some other regions, the Tokyo approach demands that special education teachers facilitate seamless transitions between resource rooms and regular classes.</w:t>
      </w:r>
    </w:p>
    <w:bookmarkEnd w:id="21"/>
    <w:bookmarkEnd w:id="22"/>
    <w:bookmarkStart w:id="23" w:name="case-profile-student-needs"/>
    <w:p>
      <w:pPr>
        <w:pStyle w:val="Heading2"/>
      </w:pPr>
      <w:r>
        <w:t xml:space="preserve">3. Case Profile: Student Needs</w:t>
      </w:r>
    </w:p>
    <w:p>
      <w:pPr>
        <w:pStyle w:val="FirstParagraph"/>
      </w:pPr>
      <w:r>
        <w:t xml:space="preserve">To illustrate her methodology, we examine two primary students under Ms. Sato’s care:</w:t>
      </w:r>
    </w:p>
    <w:p>
      <w:pPr>
        <w:pStyle w:val="BodyText"/>
      </w:pPr>
      <w:r>
        <w:rPr>
          <w:bCs/>
          <w:b/>
        </w:rPr>
        <w:t xml:space="preserve">Kenji (Age 8):</w:t>
      </w:r>
    </w:p>
    <w:p>
      <w:pPr>
        <w:pStyle w:val="BodyText"/>
      </w:pPr>
      <w:r>
        <w:t xml:space="preserve">No verbal language, diagnosed with Autism Spectrum Disorder (ASD). Kenji struggles with sensory overload in noisy Tokyo classrooms and has difficulty interpreting non-verbal social cues.</w:t>
      </w:r>
    </w:p>
    <w:p>
      <w:pPr>
        <w:pStyle w:val="BodyText"/>
      </w:pPr>
      <w:r>
        <w:rPr>
          <w:bCs/>
          <w:b/>
        </w:rPr>
        <w:t xml:space="preserve">Sakura (Age 9):</w:t>
      </w:r>
    </w:p>
    <w:p>
      <w:pPr>
        <w:pStyle w:val="BodyText"/>
      </w:pPr>
      <w:r>
        <w:t xml:space="preserve">Has Specific Learning Disabilities (SLD), particularly in reading and writing. She exhibits high anxiety when faced with academic tasks that exceed her processing speed.The contrast between these two profiles highlights the diverse range of needs within the Tokyo special education framework, requiring tailored interventions for each student.</w:t>
      </w:r>
    </w:p>
    <w:bookmarkEnd w:id="23"/>
    <w:bookmarkStart w:id="26" w:name="pedagogical-strategies-and-interventions"/>
    <w:p>
      <w:pPr>
        <w:pStyle w:val="Heading2"/>
      </w:pPr>
      <w:r>
        <w:t xml:space="preserve">4. Pedagogical Strategies and Interventions</w:t>
      </w:r>
    </w:p>
    <w:bookmarkStart w:id="24" w:name="X479630b5a03adbc199495a72d005c3cf615dfc0"/>
    <w:p>
      <w:pPr>
        <w:pStyle w:val="Heading3"/>
      </w:pPr>
      <w:r>
        <w:t xml:space="preserve">Sensory Integration and Environmental Modification</w:t>
      </w:r>
    </w:p>
    <w:p>
      <w:pPr>
        <w:pStyle w:val="FirstParagraph"/>
      </w:pPr>
      <w:r>
        <w:t xml:space="preserve">In response to Kenji’s sensory processing issues, Ms. Sato implemented a "sensory corner" within the resource room. This space allows for decompression during high-stress periods common in Tokyo schools, where noise levels can be exceptionally high due to large class sizes and close proximity of desks.</w:t>
      </w:r>
    </w:p>
    <w:p>
      <w:pPr>
        <w:pStyle w:val="BodyText"/>
      </w:pPr>
      <w:r>
        <w:t xml:space="preserve">She utilizes Picture Exchange Communication Systems (PECS) alongside digital tablets equipped with speech-generating applications. This multimodal approach respects Kenji’s strengths while providing him with agency in communication. Furthermore, Ms. Sato collaborates with the homeroom teacher to create a "quiet signal" system, allowing Kenji to step out briefly without drawing negative attention.</w:t>
      </w:r>
    </w:p>
    <w:bookmarkEnd w:id="24"/>
    <w:bookmarkStart w:id="25" w:name="Xc1be98085d729ca7550f36375a0e3708a3f623c"/>
    <w:p>
      <w:pPr>
        <w:pStyle w:val="Heading3"/>
      </w:pPr>
      <w:r>
        <w:t xml:space="preserve">Scaffolded Learning and Confidence Building</w:t>
      </w:r>
    </w:p>
    <w:p>
      <w:pPr>
        <w:pStyle w:val="FirstParagraph"/>
      </w:pPr>
      <w:r>
        <w:t xml:space="preserve">For Sakura, who suffers from academic anxiety, Ms. Sato employs scaffolded learning techniques. Breaking down complex reading tasks into micro-steps allows Sakura to experience frequent success, thereby reducing her anxiety levels. She uses color-coded text and graphic organizers to make abstract concepts concrete.</w:t>
      </w:r>
    </w:p>
    <w:p>
      <w:pPr>
        <w:pStyle w:val="BodyText"/>
      </w:pPr>
      <w:r>
        <w:t xml:space="preserve">A critical component of Ms. Sato’s strategy is the cultivation of a growth mindset within the Japanese cultural context, where failure can carry significant stigma. By reframing mistakes as learning opportunities and celebrating incremental progress, she helps Sakura build resilience.</w:t>
      </w:r>
    </w:p>
    <w:bookmarkEnd w:id="25"/>
    <w:bookmarkEnd w:id="26"/>
    <w:bookmarkStart w:id="27" w:name="challenges-specific-to-japan-tokyo"/>
    <w:p>
      <w:pPr>
        <w:pStyle w:val="Heading2"/>
      </w:pPr>
      <w:r>
        <w:t xml:space="preserve">5. Challenges Specific to Japan Tokyo</w:t>
      </w:r>
    </w:p>
    <w:p>
      <w:pPr>
        <w:pStyle w:val="FirstParagraph"/>
      </w:pPr>
      <w:r>
        <w:t xml:space="preserve">The urban environment of Tokyo presents specific hurdles for special education professionals:</w:t>
      </w:r>
    </w:p>
    <w:p>
      <w:pPr>
        <w:numPr>
          <w:ilvl w:val="0"/>
          <w:numId w:val="1001"/>
        </w:numPr>
        <w:pStyle w:val="Compact"/>
      </w:pPr>
      <w:r>
        <w:rPr>
          <w:bCs/>
          <w:b/>
        </w:rPr>
        <w:t xml:space="preserve">Cultural Homogeneity and Social Conformity:</w:t>
      </w:r>
    </w:p>
    <w:p>
      <w:pPr>
        <w:numPr>
          <w:ilvl w:val="0"/>
          <w:numId w:val="1001"/>
        </w:numPr>
        <w:pStyle w:val="Compact"/>
      </w:pPr>
      <w:r>
        <w:rPr>
          <w:bCs/>
          <w:b/>
        </w:rPr>
        <w:t xml:space="preserve">Resource Constraints:</w:t>
      </w:r>
    </w:p>
    <w:p>
      <w:pPr>
        <w:numPr>
          <w:ilvl w:val="0"/>
          <w:numId w:val="1001"/>
        </w:numPr>
        <w:pStyle w:val="Compact"/>
      </w:pPr>
      <w:r>
        <w:rPr>
          <w:bCs/>
          <w:b/>
        </w:rPr>
        <w:t xml:space="preserve">Parental Expectations:</w:t>
      </w:r>
    </w:p>
    <w:p>
      <w:pPr>
        <w:numPr>
          <w:ilvl w:val="0"/>
          <w:numId w:val="1000"/>
        </w:numPr>
        <w:pStyle w:val="Compact"/>
      </w:pPr>
      <w:r>
        <w:t xml:space="preserve">LJapanese parents can be highly involved in their children’s education but may also harbor stigma regarding special needs labels. Building trust with families who may feel ashamed or worried about social perception is a delicate emotional labor.</w:t>
      </w:r>
    </w:p>
    <w:bookmarkEnd w:id="27"/>
    <w:bookmarkStart w:id="28" w:name="collaboration-and-community-engagement"/>
    <w:p>
      <w:pPr>
        <w:pStyle w:val="Heading2"/>
      </w:pPr>
      <w:r>
        <w:t xml:space="preserve">6. Collaboration and Community Engagement</w:t>
      </w:r>
    </w:p>
    <w:p>
      <w:pPr>
        <w:pStyle w:val="FirstParagraph"/>
      </w:pPr>
      <w:r>
        <w:t xml:space="preserve">A key aspect of Ms. Sato’s success is her collaborative approach. She regularly communicates with speech therapists, occupational therapists, and medical professionals who specialize in child development within Tokyo hospitals.</w:t>
      </w:r>
    </w:p>
    <w:p>
      <w:pPr>
        <w:pStyle w:val="BodyText"/>
      </w:pPr>
      <w:r>
        <w:rPr>
          <w:bCs/>
          <w:b/>
        </w:rPr>
        <w:t xml:space="preserve">Parent Workshops:</w:t>
      </w:r>
    </w:p>
    <w:p>
      <w:pPr>
        <w:pStyle w:val="BodyText"/>
      </w:pPr>
      <w:r>
        <w:t xml:space="preserve">NoMs. Sato organizes monthly workshops for parents of children with special needs, as well as general parent-teacher associations. These sessions aim to demystify disabilities and encourage inclusive practices at home.</w:t>
      </w:r>
    </w:p>
    <w:p>
      <w:pPr>
        <w:pStyle w:val="BodyText"/>
      </w:pPr>
      <w:r>
        <w:rPr>
          <w:bCs/>
          <w:b/>
        </w:rPr>
        <w:t xml:space="preserve">In-service Training:</w:t>
      </w:r>
    </w:p>
    <w:p>
      <w:pPr>
        <w:pStyle w:val="BodyText"/>
      </w:pPr>
      <w:r>
        <w:t xml:space="preserve">NoShe also provides training for general education teachers, helping them understand how to adapt their lesson plans for students with diverse needs. This peer-to-peer knowledge sharing is crucial in a system where many homeroom teachers have not received extensive specialized training in special education.</w:t>
      </w:r>
    </w:p>
    <w:bookmarkEnd w:id="28"/>
    <w:bookmarkStart w:id="29" w:name="outcomes-and-impact"/>
    <w:p>
      <w:pPr>
        <w:pStyle w:val="Heading2"/>
      </w:pPr>
      <w:r>
        <w:t xml:space="preserve">7. Outcomes and Impact</w:t>
      </w:r>
    </w:p>
    <w:p>
      <w:pPr>
        <w:pStyle w:val="FirstParagraph"/>
      </w:pPr>
      <w:r>
        <w:t xml:space="preserve">After two years of intervention, Kenji has begun using his tablet to initiate conversations with peers during recess. He no longer covers his ears when the classroom bell rings, indicating improved sensory regulation. Sakura has shown a marked improvement in reading fluency and now voluntarily raises her hand to answer questions, demonstrating increased confidence.</w:t>
      </w:r>
    </w:p>
    <w:p>
      <w:pPr>
        <w:pStyle w:val="BodyText"/>
      </w:pPr>
      <w:r>
        <w:t xml:space="preserve">More importantly, the overall classroom culture at Ms. Sato’s school has shifted. Teachers are more proactive in identifying early signs of learning difficulties, and students demonstrate greater empathy towards peers with differences.</w:t>
      </w:r>
    </w:p>
    <w:bookmarkEnd w:id="29"/>
    <w:bookmarkStart w:id="30" w:name="conclusion"/>
    <w:p>
      <w:pPr>
        <w:pStyle w:val="Heading2"/>
      </w:pPr>
      <w:r>
        <w:t xml:space="preserve">8. Conclusion</w:t>
      </w:r>
    </w:p>
    <w:p>
      <w:pPr>
        <w:pStyle w:val="FirstParagraph"/>
      </w:pPr>
      <w:r>
        <w:t xml:space="preserve">The role of a Special Education Teacher in Japan Tokyo is multifaceted, requiring a blend of clinical expertise, cultural sensitivity, and systemic navigation skills. Ms. Sato’s case illustrates that while challenges such as societal pressure and resource limitations persist, targeted interventions can yield significant positive outcomes.</w:t>
      </w:r>
    </w:p>
    <w:p>
      <w:pPr>
        <w:pStyle w:val="BodyText"/>
      </w:pPr>
      <w:r>
        <w:t xml:space="preserve">This case study underscores the importance of viewing special education not as an isolated service but as an integral part of the broader educational ecosystem in Tokyo. By fostering inclusion, collaboration, and individualized support, Special Education Teachers play a pivotal role in shaping a more equitable and compassionate society for all students in Japan.</w:t>
      </w:r>
    </w:p>
    <w:p>
      <w:pPr>
        <w:pStyle w:val="BodyText"/>
      </w:pPr>
      <w:r>
        <w:t xml:space="preserve">As Japan continues to evolve socially and demographically, the insights gained from this case study will be valuable for policymakers, educators, and researchers looking to enhance special support education frameworks within urban Japanese contexts.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Japan Tokyo</dc:title>
  <dc:creator/>
  <dc:language>en</dc:language>
  <cp:keywords/>
  <dcterms:created xsi:type="dcterms:W3CDTF">2026-07-29T18:58:30Z</dcterms:created>
  <dcterms:modified xsi:type="dcterms:W3CDTF">2026-07-29T18:58:30Z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