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5967f1cc7ca6e250b4c3097767fddf98d8e4c75"/>
    <w:p>
      <w:pPr>
        <w:pStyle w:val="Heading1"/>
      </w:pPr>
      <w:r>
        <w:t xml:space="preserve">A Case Study on the Role of a Special Education Teacher in Malaysia Kuala Lumpur</w:t>
      </w:r>
    </w:p>
    <w:p>
      <w:pPr>
        <w:pStyle w:val="FirstParagraph"/>
      </w:pPr>
      <w:r>
        <w:rPr>
          <w:bCs/>
          <w:b/>
        </w:rPr>
        <w:t xml:space="preserve">Date:</w:t>
      </w:r>
      <w:r>
        <w:t xml:space="preserve"> </w:t>
      </w:r>
      <w:r>
        <w:t xml:space="preserve">October 2023</w:t>
      </w:r>
      <w:r>
        <w:br/>
      </w:r>
      <w:r>
        <w:t xml:space="preserve">Inclusive Education Integration in Urban Malaysian Settings</w:t>
      </w:r>
      <w:r>
        <w:br/>
      </w:r>
      <w:r>
        <w:rPr>
          <w:iCs/>
          <w:i/>
        </w:rPr>
        <w:t xml:space="preserve">This document serves as a comprehensive Case Study analyzing the professional dynamics, challenges, and successes of a Special Education Teacher operating within the unique educational landscape of Malaysia Kuala Lumpur.</w:t>
      </w:r>
    </w:p>
    <w:bookmarkStart w:id="20" w:name="introduction"/>
    <w:p>
      <w:pPr>
        <w:pStyle w:val="Heading2"/>
      </w:pPr>
      <w:r>
        <w:t xml:space="preserve">1. Introduction</w:t>
      </w:r>
    </w:p>
    <w:p>
      <w:pPr>
        <w:pStyle w:val="FirstParagraph"/>
      </w:pPr>
      <w:r>
        <w:t xml:space="preserve">The educational framework in Malaysia has undergone significant transformation over the last decade, moving towards a more inclusive model that accommodates students with special needs. However, the implementation of these policies varies significantly depending on geographic and socioeconomic factors. This Case Study focuses specifically on</w:t>
      </w:r>
      <w:r>
        <w:t xml:space="preserve"> </w:t>
      </w:r>
      <w:r>
        <w:rPr>
          <w:bCs/>
          <w:b/>
        </w:rPr>
        <w:t xml:space="preserve">Malaysia Kuala Lumpur</w:t>
      </w:r>
      <w:r>
        <w:t xml:space="preserve">, the nation's capital and most urbanized hub. In this high-density metropolis, the demand for specialized educational support is acute due to a diverse population comprising various ethnic groups, languages, and socio-economic backgrounds.</w:t>
      </w:r>
    </w:p>
    <w:p>
      <w:pPr>
        <w:pStyle w:val="BodyText"/>
      </w:pPr>
      <w:r>
        <w:t xml:space="preserve">At the heart of this transformation is the</w:t>
      </w:r>
      <w:r>
        <w:t xml:space="preserve"> </w:t>
      </w:r>
      <w:r>
        <w:rPr>
          <w:bCs/>
          <w:b/>
        </w:rPr>
        <w:t xml:space="preserve">Special Education Teacher</w:t>
      </w:r>
      <w:r>
        <w:t xml:space="preserve">. Unlike general education teachers who manage large classes with standardized curricula, a Special Education Teacher in this context must navigate complex legal frameworks, cultural nuances, and resource limitations. This document explores how a dedicated professional navigates these waters to provide equitable learning opportunities.</w:t>
      </w:r>
    </w:p>
    <w:bookmarkEnd w:id="20"/>
    <w:bookmarkStart w:id="21" w:name="X5db967e7f871a2b625ab9af7b3dbda7e1a85137"/>
    <w:p>
      <w:pPr>
        <w:pStyle w:val="Heading2"/>
      </w:pPr>
      <w:r>
        <w:t xml:space="preserve">2. Contextual Background: The Landscape of Kuala Lumpur</w:t>
      </w:r>
    </w:p>
    <w:p>
      <w:pPr>
        <w:pStyle w:val="FirstParagraph"/>
      </w:pPr>
      <w:r>
        <w:rPr>
          <w:bCs/>
          <w:b/>
        </w:rPr>
        <w:t xml:space="preserve">Malaysia Kuala Lumpur</w:t>
      </w:r>
      <w:r>
        <w:t xml:space="preserve"> </w:t>
      </w:r>
      <w:r>
        <w:t xml:space="preserve">presents a unique dichotomy in education. On one hand, there are well-resourced international schools and elite national-type institutions. On the other, there are public mainstream schools where integration efforts are often underfunded or understaffed. The Case Study observes a primary school setting in a suburban district of Kuala Lumpur, such as Setapak or Kepong, where the student body is predominantly from lower-to-middle-income households.</w:t>
      </w:r>
    </w:p>
    <w:p>
      <w:pPr>
        <w:pStyle w:val="BodyText"/>
      </w:pPr>
      <w:r>
        <w:t xml:space="preserve">In this environment, the concept of "inclusive education" is not just a pedagogical strategy but a societal imperative. The government’s commitment to Universal Primary Education (UPE) necessitates that children with disabilities remain in mainstream classrooms rather than being segregated. This policy places the burden of adaptation largely on the</w:t>
      </w:r>
      <w:r>
        <w:t xml:space="preserve"> </w:t>
      </w:r>
      <w:r>
        <w:rPr>
          <w:bCs/>
          <w:b/>
        </w:rPr>
        <w:t xml:space="preserve">Special Education Teacher</w:t>
      </w:r>
      <w:r>
        <w:t xml:space="preserve">, who acts as the bridge between standard curriculum requirements and individual student needs.</w:t>
      </w:r>
    </w:p>
    <w:bookmarkEnd w:id="21"/>
    <w:bookmarkStart w:id="22" w:name="Xe5075bf84a4a6108aadfebb58856a81ae3730ab"/>
    <w:p>
      <w:pPr>
        <w:pStyle w:val="Heading2"/>
      </w:pPr>
      <w:r>
        <w:t xml:space="preserve">3. Profile of the Subject: The Special Education Teacher</w:t>
      </w:r>
    </w:p>
    <w:p>
      <w:pPr>
        <w:pStyle w:val="FirstParagraph"/>
      </w:pPr>
      <w:r>
        <w:t xml:space="preserve">The subject of this Case Study is a certified special education professional working full-time in a mainstream primary school. Their role extends far beyond academic instruction. In the context of</w:t>
      </w:r>
      <w:r>
        <w:t xml:space="preserve"> </w:t>
      </w:r>
      <w:r>
        <w:rPr>
          <w:bCs/>
          <w:b/>
        </w:rPr>
        <w:t xml:space="preserve">Malaysia Kuala Lumpur</w:t>
      </w:r>
      <w:r>
        <w:t xml:space="preserve">, the teacher acts as:</w:t>
      </w:r>
    </w:p>
    <w:p>
      <w:pPr>
        <w:numPr>
          <w:ilvl w:val="0"/>
          <w:numId w:val="1001"/>
        </w:numPr>
        <w:pStyle w:val="Compact"/>
      </w:pPr>
      <w:r>
        <w:rPr>
          <w:bCs/>
          <w:b/>
        </w:rPr>
        <w:t xml:space="preserve">Cultural Mediator:</w:t>
      </w:r>
      <w:r>
        <w:t xml:space="preserve"> </w:t>
      </w:r>
      <w:r>
        <w:t xml:space="preserve">Navigating communication gaps between parents who may speak Bahasa Melayu, Mandarin, or Tamil and school administrators.</w:t>
      </w:r>
    </w:p>
    <w:p>
      <w:pPr>
        <w:numPr>
          <w:ilvl w:val="0"/>
          <w:numId w:val="1001"/>
        </w:numPr>
        <w:pStyle w:val="Compact"/>
      </w:pPr>
      <w:r>
        <w:rPr>
          <w:bCs/>
          <w:b/>
        </w:rPr>
        <w:t xml:space="preserve">Idealogue Advocate:</w:t>
      </w:r>
      <w:r>
        <w:t xml:space="preserve"> </w:t>
      </w:r>
      <w:r>
        <w:t xml:space="preserve">Convincing general education staff of the value of inclusion against prevalent stigmas regarding disability.</w:t>
      </w:r>
    </w:p>
    <w:p>
      <w:pPr>
        <w:numPr>
          <w:ilvl w:val="0"/>
          <w:numId w:val="1001"/>
        </w:numPr>
        <w:pStyle w:val="Compact"/>
      </w:pPr>
      <w:r>
        <w:rPr>
          <w:bCs/>
          <w:b/>
        </w:rPr>
        <w:t xml:space="preserve">Curriculum Adapter:</w:t>
      </w:r>
      <w:r>
        <w:t xml:space="preserve"> </w:t>
      </w:r>
      <w:r>
        <w:t xml:space="preserve">Modifying national syllabi to suit students with Autism Spectrum Disorder (ASD), Attention Deficit Hyperactivity Disorder (ADHD), and dyslexia.</w:t>
      </w:r>
    </w:p>
    <w:bookmarkEnd w:id="22"/>
    <w:bookmarkStart w:id="26" w:name="case-scenario-integration-challenges"/>
    <w:p>
      <w:pPr>
        <w:pStyle w:val="Heading2"/>
      </w:pPr>
      <w:r>
        <w:t xml:space="preserve">4. Case Scenario: Integration Challenges</w:t>
      </w:r>
    </w:p>
    <w:p>
      <w:pPr>
        <w:pStyle w:val="FirstParagraph"/>
      </w:pPr>
      <w:r>
        <w:t xml:space="preserve">The central narrative of this Case Study revolves around "Ahmad," a 9-year-old student with mild Autism Spectrum Disorder enrolled in Year 3 at the Kuala Lumpur school. Ahmad struggles with sensory overload and social interaction, which are common hurdles in the busy, noisy environment typical of schools in</w:t>
      </w:r>
      <w:r>
        <w:t xml:space="preserve"> </w:t>
      </w:r>
      <w:r>
        <w:rPr>
          <w:bCs/>
          <w:b/>
        </w:rPr>
        <w:t xml:space="preserve">Malaysia Kuala Lumpur</w:t>
      </w:r>
      <w:r>
        <w:t xml:space="preserve">.</w:t>
      </w:r>
    </w:p>
    <w:bookmarkStart w:id="23" w:name="the-challenge"/>
    <w:p>
      <w:pPr>
        <w:pStyle w:val="Heading3"/>
      </w:pPr>
      <w:r>
        <w:t xml:space="preserve">The Challenge</w:t>
      </w:r>
    </w:p>
    <w:p>
      <w:pPr>
        <w:pStyle w:val="FirstParagraph"/>
      </w:pPr>
      <w:r>
        <w:t xml:space="preserve">The mainstream classroom had 40 students. The General Education Teacher (GET) lacked training in behavioral management for neurodivergent students. Consequently, Ahmad was often removed from class for disruptive behavior, effectively segregating him despite the school's inclusive policy. The parents were frustrated and felt their son was being penalized for his differences.</w:t>
      </w:r>
    </w:p>
    <w:bookmarkEnd w:id="23"/>
    <w:bookmarkStart w:id="24" w:name="Xdd77be6d0f56ba2c68ebe2fc1ece6559c9efde9"/>
    <w:p>
      <w:pPr>
        <w:pStyle w:val="Heading3"/>
      </w:pPr>
      <w:r>
        <w:t xml:space="preserve">The Intervention by the Special Education Teacher</w:t>
      </w:r>
    </w:p>
    <w:p>
      <w:pPr>
        <w:pStyle w:val="FirstParagraph"/>
      </w:pPr>
      <w:r>
        <w:t xml:space="preserve">The</w:t>
      </w:r>
      <w:r>
        <w:t xml:space="preserve"> </w:t>
      </w:r>
      <w:r>
        <w:rPr>
          <w:bCs/>
          <w:b/>
        </w:rPr>
        <w:t xml:space="preserve">Special Education Teacher</w:t>
      </w:r>
      <w:r>
        <w:t xml:space="preserve"> </w:t>
      </w:r>
      <w:r>
        <w:t xml:space="preserve">initiated a structured intervention plan. First, they conducted a Functional Behavior Assessment (FBA) to understand the triggers of Ahmad's behavior. They identified that the noise level during assembly and certain transitions between subjects were primary stressors.</w:t>
      </w:r>
    </w:p>
    <w:bookmarkEnd w:id="24"/>
    <w:bookmarkStart w:id="25" w:name="key-strategies-implemented"/>
    <w:p>
      <w:pPr>
        <w:pStyle w:val="Heading3"/>
      </w:pPr>
      <w:r>
        <w:t xml:space="preserve">Key Strategies Implemented:</w:t>
      </w:r>
    </w:p>
    <w:p>
      <w:pPr>
        <w:numPr>
          <w:ilvl w:val="0"/>
          <w:numId w:val="1002"/>
        </w:numPr>
        <w:pStyle w:val="Compact"/>
      </w:pPr>
      <w:r>
        <w:rPr>
          <w:bCs/>
          <w:b/>
        </w:rPr>
        <w:t xml:space="preserve">Sensory Accommodations:</w:t>
      </w:r>
      <w:r>
        <w:t xml:space="preserve">The teacher introduced "quiet corners" within the classroom and provided noise-canceling headphones, allowing Ahmad to self-regulate without leaving the learning environment.</w:t>
      </w:r>
    </w:p>
    <w:p>
      <w:pPr>
        <w:numPr>
          <w:ilvl w:val="0"/>
          <w:numId w:val="1002"/>
        </w:numPr>
        <w:pStyle w:val="Compact"/>
      </w:pPr>
      <w:r>
        <w:rPr>
          <w:bCs/>
          <w:b/>
        </w:rPr>
        <w:t xml:space="preserve">Differentiated Instruction:</w:t>
      </w:r>
      <w:r>
        <w:t xml:space="preserve">The Special Education Teacher collaborated with the GET to break down lessons into smaller, visual chunks. This is crucial in a multilingual context like Kuala Lumpur where language barriers can exacerbate cognitive load for students with processing difficulties.</w:t>
      </w:r>
    </w:p>
    <w:p>
      <w:pPr>
        <w:numPr>
          <w:ilvl w:val="0"/>
          <w:numId w:val="1002"/>
        </w:numPr>
        <w:pStyle w:val="Compact"/>
      </w:pPr>
      <w:r>
        <w:rPr>
          <w:bCs/>
          <w:b/>
        </w:rPr>
        <w:t xml:space="preserve">Social Stories:</w:t>
      </w:r>
      <w:r>
        <w:t xml:space="preserve">Customized social stories were created to help Ahmad understand expected behaviors during transitions, a common pain point in Malaysian schools where discipline is often strict and routine-heavy.</w:t>
      </w:r>
    </w:p>
    <w:bookmarkEnd w:id="25"/>
    <w:bookmarkEnd w:id="26"/>
    <w:bookmarkStart w:id="27" w:name="stakeholder-engagement-in-kuala-lumpur"/>
    <w:p>
      <w:pPr>
        <w:pStyle w:val="Heading2"/>
      </w:pPr>
      <w:r>
        <w:t xml:space="preserve">5. Stakeholder Engagement in Kuala Lumpur</w:t>
      </w:r>
    </w:p>
    <w:p>
      <w:pPr>
        <w:pStyle w:val="FirstParagraph"/>
      </w:pPr>
      <w:r>
        <w:t xml:space="preserve">A critical component of this Case Study is the involvement of parents and local authorities. In</w:t>
      </w:r>
      <w:r>
        <w:t xml:space="preserve"> </w:t>
      </w:r>
      <w:r>
        <w:rPr>
          <w:bCs/>
          <w:b/>
        </w:rPr>
        <w:t xml:space="preserve">Malaysia Kuala Lumpur</w:t>
      </w:r>
      <w:r>
        <w:t xml:space="preserve">, parental engagement can be complex due to varying levels of awareness regarding special needs. The Special Education Teacher held workshops for Ahmad's parents, educating them on how to support his development at home.</w:t>
      </w:r>
    </w:p>
    <w:p>
      <w:pPr>
        <w:pStyle w:val="BodyText"/>
      </w:pPr>
      <w:r>
        <w:t xml:space="preserve">Furthermore, the teacher liaised with the District Education Office (Pejabat Pendidikan Daerah) in Kuala Lumpur. Bureaucratic hurdles often delay the allocation of resources such as teaching assistants or specialized learning aids. The Case Study highlights how proactive communication by the Special Education Teacher helped secure a part-time education assistant for Ahmad, demonstrating that advocacy is as vital as pedagogy.</w:t>
      </w:r>
    </w:p>
    <w:bookmarkEnd w:id="27"/>
    <w:bookmarkStart w:id="28" w:name="outcomes-and-impact"/>
    <w:p>
      <w:pPr>
        <w:pStyle w:val="Heading2"/>
      </w:pPr>
      <w:r>
        <w:t xml:space="preserve">6. Outcomes and Impact</w:t>
      </w:r>
    </w:p>
    <w:p>
      <w:pPr>
        <w:pStyle w:val="FirstParagraph"/>
      </w:pPr>
      <w:r>
        <w:t xml:space="preserve">After six months of intensive support led by the</w:t>
      </w:r>
      <w:r>
        <w:t xml:space="preserve"> </w:t>
      </w:r>
      <w:r>
        <w:rPr>
          <w:bCs/>
          <w:b/>
        </w:rPr>
        <w:t xml:space="preserve">Special Education Teacher</w:t>
      </w:r>
      <w:r>
        <w:t xml:space="preserve">, measurable improvements were observed:</w:t>
      </w:r>
    </w:p>
    <w:p>
      <w:pPr>
        <w:numPr>
          <w:ilvl w:val="0"/>
          <w:numId w:val="1003"/>
        </w:numPr>
        <w:pStyle w:val="Compact"/>
      </w:pPr>
      <w:r>
        <w:rPr>
          <w:bCs/>
          <w:b/>
        </w:rPr>
        <w:t xml:space="preserve">Social Integration:</w:t>
      </w:r>
      <w:r>
        <w:t xml:space="preserve">Ahmad’s instances of disruptive behavior decreased by 70%. He began engaging in peer play during recess, facilitated by structured group activities designed by the teacher.</w:t>
      </w:r>
    </w:p>
    <w:p>
      <w:pPr>
        <w:numPr>
          <w:ilvl w:val="0"/>
          <w:numId w:val="1003"/>
        </w:numPr>
        <w:pStyle w:val="Compact"/>
      </w:pPr>
      <w:r>
        <w:rPr>
          <w:bCs/>
          <w:b/>
        </w:rPr>
        <w:t xml:space="preserve">Academic Progress:</w:t>
      </w:r>
      <w:r>
        <w:t xml:space="preserve">Through differentiated materials, Ahmad’s reading comprehension scores improved from below grade level to meeting basic benchmarks.</w:t>
      </w:r>
    </w:p>
    <w:p>
      <w:pPr>
        <w:numPr>
          <w:ilvl w:val="0"/>
          <w:numId w:val="1003"/>
        </w:numPr>
        <w:pStyle w:val="Compact"/>
      </w:pPr>
      <w:r>
        <w:rPr>
          <w:bCs/>
          <w:b/>
        </w:rPr>
        <w:t xml:space="preserve">School Culture Shift:</w:t>
      </w:r>
      <w:r>
        <w:t xml:space="preserve">The success of this Case Study had a ripple effect. Other teachers in the Kuala Lumpur school began requesting advice on inclusive practices, leading to an internal professional development session led by the Special Education Teacher.</w:t>
      </w:r>
    </w:p>
    <w:bookmarkEnd w:id="28"/>
    <w:bookmarkStart w:id="29" w:name="challenges-and-limitations"/>
    <w:p>
      <w:pPr>
        <w:pStyle w:val="Heading2"/>
      </w:pPr>
      <w:r>
        <w:t xml:space="preserve">7. Challenges and Limitations</w:t>
      </w:r>
    </w:p>
    <w:p>
      <w:pPr>
        <w:pStyle w:val="FirstParagraph"/>
      </w:pPr>
      <w:r>
        <w:t xml:space="preserve">Despite these successes, the Case Study acknowledges systemic issues. The teacher in</w:t>
      </w:r>
      <w:r>
        <w:t xml:space="preserve"> </w:t>
      </w:r>
      <w:r>
        <w:rPr>
          <w:bCs/>
          <w:b/>
        </w:rPr>
        <w:t xml:space="preserve">Malaysia Kuala Lumpur</w:t>
      </w:r>
    </w:p>
    <w:bookmarkEnd w:id="29"/>
    <w:bookmarkStart w:id="30" w:name="recommendations-for-policy-and-practice"/>
    <w:p>
      <w:pPr>
        <w:pStyle w:val="Heading2"/>
      </w:pPr>
      <w:r>
        <w:t xml:space="preserve">8. Recommendations for Policy and Practice</w:t>
      </w:r>
    </w:p>
    <w:p>
      <w:pPr>
        <w:pStyle w:val="FirstParagraph"/>
      </w:pPr>
      <w:r>
        <w:t xml:space="preserve">Based on this Case Study, several recommendations are proposed for educational stakeholders in Malaysia:</w:t>
      </w:r>
    </w:p>
    <w:p>
      <w:pPr>
        <w:numPr>
          <w:ilvl w:val="0"/>
          <w:numId w:val="1004"/>
        </w:numPr>
        <w:pStyle w:val="Compact"/>
      </w:pPr>
      <w:r>
        <w:rPr>
          <w:bCs/>
          <w:b/>
        </w:rPr>
        <w:t xml:space="preserve">Mandatory Inclusive Training:</w:t>
      </w:r>
      <w:r>
        <w:t xml:space="preserve">All general education teachers in Malaysian schools must undergo basic training in special needs awareness to reduce the burden on Special Education Teachers.</w:t>
      </w:r>
    </w:p>
    <w:p>
      <w:pPr>
        <w:numPr>
          <w:ilvl w:val="0"/>
          <w:numId w:val="1004"/>
        </w:numPr>
        <w:pStyle w:val="Compact"/>
      </w:pPr>
      <w:r>
        <w:rPr>
          <w:bCs/>
          <w:b/>
        </w:rPr>
        <w:t xml:space="preserve">Increased Funding:</w:t>
      </w:r>
      <w:r>
        <w:t xml:space="preserve">The Ministry of Education should allocate specific budgets for Kuala Lumpur schools to hire additional support staff, recognizing the high density of diverse student populations in the city.</w:t>
      </w:r>
    </w:p>
    <w:p>
      <w:pPr>
        <w:numPr>
          <w:ilvl w:val="0"/>
          <w:numId w:val="1004"/>
        </w:numPr>
        <w:pStyle w:val="Compact"/>
      </w:pPr>
      <w:r>
        <w:rPr>
          <w:bCs/>
          <w:b/>
        </w:rPr>
        <w:t xml:space="preserve">Parental Support Networks:</w:t>
      </w:r>
      <w:r>
        <w:t xml:space="preserve">Create structured support groups for parents in urban areas to share experiences and reduce stigma.</w:t>
      </w:r>
    </w:p>
    <w:bookmarkEnd w:id="30"/>
    <w:bookmarkStart w:id="31" w:name="conclusion"/>
    <w:p>
      <w:pPr>
        <w:pStyle w:val="Heading2"/>
      </w:pPr>
      <w:r>
        <w:t xml:space="preserve">9. Conclusion</w:t>
      </w:r>
    </w:p>
    <w:p>
      <w:pPr>
        <w:pStyle w:val="FirstParagraph"/>
      </w:pPr>
      <w:r>
        <w:t xml:space="preserve">This Case Study underscores the pivotal role of the Special Education Teacher in driving inclusive education forward. In</w:t>
      </w:r>
      <w:r>
        <w:t xml:space="preserve"> </w:t>
      </w:r>
      <w:r>
        <w:rPr>
          <w:bCs/>
          <w:b/>
        </w:rPr>
        <w:t xml:space="preserve">Malaysia Kuala Lumpur</w:t>
      </w:r>
      <w:r>
        <w:t xml:space="preserve">, where rapid urbanization meets traditional educational structures, these professionals are not just educators but change agents. They bridge the gap between policy and practice, ensuring that every child, regardless of ability, has access to quality education.</w:t>
      </w:r>
    </w:p>
    <w:p>
      <w:pPr>
        <w:pStyle w:val="BodyText"/>
      </w:pPr>
      <w:r>
        <w:t xml:space="preserve">The journey is fraught with challenges ranging from resource scarcity to societal stigma. However, as demonstrated through the intervention for Ahmad, effective collaboration between Special Education Teachers, mainstream staff, and families can yield transformative results. The future of inclusive education in</w:t>
      </w:r>
      <w:r>
        <w:t xml:space="preserve"> </w:t>
      </w:r>
      <w:r>
        <w:rPr>
          <w:bCs/>
          <w:b/>
        </w:rPr>
        <w:t xml:space="preserve">Malaysia Kuala Lumpur</w:t>
      </w:r>
      <w:r>
        <w:t xml:space="preserve"> </w:t>
      </w:r>
      <w:r>
        <w:t xml:space="preserve">depends on recognizing and supporting these vital professionals with adequate resources and systemic backing.</w:t>
      </w:r>
    </w:p>
    <w:p>
      <w:r>
        <w:pict>
          <v:rect style="width:0;height:1.5pt" o:hralign="center" o:hrstd="t" o:hr="t"/>
        </w:pict>
      </w:r>
    </w:p>
    <w:p>
      <w:pPr>
        <w:pStyle w:val="FirstParagraph"/>
      </w:pPr>
      <w:r>
        <w:rPr>
          <w:iCs/>
          <w:i/>
        </w:rPr>
        <w:t xml:space="preserve">Note: This document is a fictionalized composite Case Study based on common trends and professional standards observed in special education within Malaysia. Names and specific scenarios have been anonymized to protect privacy while maintaining realistic contextual accuracy for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in Malaysia Kuala Lumpur</dc:title>
  <dc:creator/>
  <dc:language>en</dc:language>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