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Abuja,</w:t>
      </w:r>
      <w:r>
        <w:t xml:space="preserve"> </w:t>
      </w:r>
      <w:r>
        <w:t xml:space="preserve">Nigeria</w:t>
      </w:r>
    </w:p>
    <w:bookmarkStart w:id="28" w:name="bridging-the-gap-in-abuja-nigeria"/>
    <w:p>
      <w:pPr>
        <w:pStyle w:val="Heading1"/>
      </w:pPr>
      <w:r>
        <w:t xml:space="preserve">Bridging the Gap in Abuja, Nigeria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Federal Capital Territory (FCT), Abuja, Nigeria</w:t>
      </w:r>
      <w:r>
        <w:br/>
      </w:r>
      <w:r>
        <w:rPr>
          <w:bCs/>
          <w:b/>
        </w:rPr>
        <w:t xml:space="preserve">Status:</w:t>
      </w:r>
      <w:r>
        <w:t xml:space="preserve"> </w:t>
      </w:r>
      <w:r>
        <w:t xml:space="preserve">Completed Case Study Analysis</w:t>
      </w:r>
    </w:p>
    <w:bookmarkStart w:id="20" w:name="X31d2e0254a0a06721ab523d51b8b337e1d94312"/>
    <w:p>
      <w:pPr>
        <w:pStyle w:val="Heading2"/>
      </w:pPr>
      <w:r>
        <w:t xml:space="preserve">H1. Introduction: The Imperative for Special Education Teachers in Nigeria</w:t>
      </w:r>
    </w:p>
    <w:p>
      <w:pPr>
        <w:pStyle w:val="FirstParagraph"/>
      </w:pPr>
      <w:r>
        <w:t xml:space="preserve">In the rapidly developing capital city of Abuja, Nigeria, a significant demographic often remains overlooked in mainstream educational discourse: students with disabilities. While Abuja represents modernity and federal progress in West Africa, the integration of children with special needs into formal education systems presents unique challenges. This Case Study explores the critical role of the</w:t>
      </w:r>
      <w:r>
        <w:t xml:space="preserve"> </w:t>
      </w:r>
      <w:r>
        <w:rPr>
          <w:bCs/>
          <w:b/>
        </w:rPr>
        <w:t xml:space="preserve">Special Education Teacher</w:t>
      </w:r>
      <w:r>
        <w:t xml:space="preserve"> </w:t>
      </w:r>
      <w:r>
        <w:t xml:space="preserve">within this specific geographic and cultural context.</w:t>
      </w:r>
    </w:p>
    <w:p>
      <w:pPr>
        <w:pStyle w:val="BodyText"/>
      </w:pPr>
      <w:r>
        <w:t xml:space="preserve">The objective of this document is to analyze how specialized pedagogical approaches, when implemented by dedicated professionals, can transform educational outcomes for marginalized students in Abuja. It examines the systemic barriers, cultural perceptions, and successful interventions that define the current landscape of special education in Nigeria’s capital.</w:t>
      </w:r>
    </w:p>
    <w:bookmarkEnd w:id="20"/>
    <w:bookmarkStart w:id="21" w:name="Xc27f8dfd6b35e7edbb5d3406cfc117e7ec93015"/>
    <w:p>
      <w:pPr>
        <w:pStyle w:val="Heading2"/>
      </w:pPr>
      <w:r>
        <w:t xml:space="preserve">H2. Contextual Background: The Educational Landscape of Abuja</w:t>
      </w:r>
    </w:p>
    <w:p>
      <w:pPr>
        <w:pStyle w:val="FirstParagraph"/>
      </w:pPr>
      <w:r>
        <w:t xml:space="preserve">Abuja serves as the political heart of Nigeria, hosting federal institutions and a diverse population from various ethnic backgrounds. However, beneath this veneer of modernization lies a gap in inclusive infrastructure. According to recent assessments by the Nigerian Educational Research and Development Council (NERDC), there is a shortage of qualified personnel specifically trained in special needs education.</w:t>
      </w:r>
    </w:p>
    <w:p>
      <w:pPr>
        <w:pStyle w:val="BodyText"/>
      </w:pPr>
      <w:r>
        <w:t xml:space="preserve">In Abuja, parents frequently face two distinct hurdles:</w:t>
      </w:r>
    </w:p>
    <w:p>
      <w:pPr>
        <w:numPr>
          <w:ilvl w:val="0"/>
          <w:numId w:val="1001"/>
        </w:numPr>
        <w:pStyle w:val="Compact"/>
      </w:pPr>
      <w:r>
        <w:rPr>
          <w:bCs/>
          <w:b/>
        </w:rPr>
        <w:t xml:space="preserve">Awareness:</w:t>
      </w:r>
      <w:r>
        <w:t xml:space="preserve"> </w:t>
      </w:r>
      <w:r>
        <w:t xml:space="preserve">A lingering stigma attached to disabilities, often rooted in traditional misconceptions rather than medical understanding.</w:t>
      </w:r>
    </w:p>
    <w:p>
      <w:pPr>
        <w:numPr>
          <w:ilvl w:val="0"/>
          <w:numId w:val="1001"/>
        </w:numPr>
        <w:pStyle w:val="Compact"/>
      </w:pPr>
      <w:r>
        <w:rPr>
          <w:bCs/>
          <w:b/>
        </w:rPr>
        <w:t xml:space="preserve">Routine:</w:t>
      </w:r>
      <w:r>
        <w:t xml:space="preserve"> </w:t>
      </w:r>
      <w:r>
        <w:t xml:space="preserve">The absence of tailored curricula in mainstream schools, which forces many children with special needs into exclusion or informal home-based schooling.</w:t>
      </w:r>
    </w:p>
    <w:p>
      <w:pPr>
        <w:pStyle w:val="FirstParagraph"/>
      </w:pPr>
      <w:r>
        <w:t xml:space="preserve">The government has made strides through the Discrimination against Persons with Disabilities (Prohibition) Act 2018, but implementation on the ground relies heavily on individual educators who act as advocates and practitioners. This Case Study focuses on these practitioners: the Special Education Teachers.</w:t>
      </w:r>
    </w:p>
    <w:bookmarkEnd w:id="21"/>
    <w:bookmarkStart w:id="22" w:name="h3.-profile-of-the-intervention"/>
    <w:p>
      <w:pPr>
        <w:pStyle w:val="Heading2"/>
      </w:pPr>
      <w:r>
        <w:t xml:space="preserve">H3. Profile of the Intervention</w:t>
      </w:r>
    </w:p>
    <w:p>
      <w:pPr>
        <w:pStyle w:val="FirstParagraph"/>
      </w:pPr>
      <w:r>
        <w:t xml:space="preserve">This case study analyzes data from three private and semi-public schools in distinct zones of Abuja (Wuse, Garki, and Jabi). The intervention involved deploying trained</w:t>
      </w:r>
      <w:r>
        <w:t xml:space="preserve"> </w:t>
      </w:r>
      <w:r>
        <w:rPr>
          <w:bCs/>
          <w:b/>
        </w:rPr>
        <w:t xml:space="preserve">Special Education Teachers</w:t>
      </w:r>
      <w:r>
        <w:t xml:space="preserve"> </w:t>
      </w:r>
      <w:r>
        <w:t xml:space="preserve">to support mainstream classrooms with integrated students. These teachers were tasked not only with direct instruction but also with training general education staff on inclusive practices.</w:t>
      </w:r>
    </w:p>
    <w:bookmarkEnd w:id="22"/>
    <w:bookmarkStart w:id="23" w:name="X88a3bb461c247b2038d8cc0eca5f4536e4ee566"/>
    <w:p>
      <w:pPr>
        <w:pStyle w:val="Heading2"/>
      </w:pPr>
      <w:r>
        <w:t xml:space="preserve">H4. Methodology and Challenges Encountered</w:t>
      </w:r>
    </w:p>
    <w:p>
      <w:pPr>
        <w:pStyle w:val="FirstParagraph"/>
      </w:pPr>
      <w:r>
        <w:t xml:space="preserve">The implementation phase revealed several systemic issues inherent to the Nigerian context:</w:t>
      </w:r>
    </w:p>
    <w:p>
      <w:pPr>
        <w:numPr>
          <w:ilvl w:val="0"/>
          <w:numId w:val="1002"/>
        </w:numPr>
        <w:pStyle w:val="Compact"/>
      </w:pPr>
      <w:r>
        <w:rPr>
          <w:bCs/>
          <w:b/>
        </w:rPr>
        <w:t xml:space="preserve">Cultural Resistance:</w:t>
      </w:r>
      <w:r>
        <w:t xml:space="preserve"> </w:t>
      </w:r>
      <w:r>
        <w:t xml:space="preserve">In some communities within Abuja, there was initial resistance from parents who believed that placing a child with a disability in a general class would disrupt learning. The Special Education Teacher had to engage in extensive community dialogue to alleviate these fears.</w:t>
      </w:r>
    </w:p>
    <w:p>
      <w:pPr>
        <w:numPr>
          <w:ilvl w:val="0"/>
          <w:numId w:val="1002"/>
        </w:numPr>
        <w:pStyle w:val="Compact"/>
      </w:pPr>
      <w:r>
        <w:rPr>
          <w:bCs/>
          <w:b/>
        </w:rPr>
        <w:t xml:space="preserve">Resource Scarcity:</w:t>
      </w:r>
      <w:r>
        <w:t xml:space="preserve"> </w:t>
      </w:r>
      <w:r>
        <w:t xml:space="preserve">While Abuja is wealthier than many other regions, specialized tools (such as Braille typewriters or sensory integration equipment) were often unavailable or too expensive for public institutions. Teachers had to resort to improvisation, creating low-cost assistive devices using locally available materials.</w:t>
      </w:r>
    </w:p>
    <w:p>
      <w:pPr>
        <w:numPr>
          <w:ilvl w:val="0"/>
          <w:numId w:val="1002"/>
        </w:numPr>
        <w:pStyle w:val="Compact"/>
      </w:pPr>
      <w:r>
        <w:rPr>
          <w:bCs/>
          <w:b/>
        </w:rPr>
        <w:t xml:space="preserve">Lack of Training:</w:t>
      </w:r>
      <w:r>
        <w:t xml:space="preserve"> </w:t>
      </w:r>
      <w:r>
        <w:t xml:space="preserve">Many mainstream teachers in Abuja felt unprepared to handle diverse learning needs. The Special Education Teacher became a mentor, conducting weekly workshops on differentiation and behavioral management.</w:t>
      </w:r>
    </w:p>
    <w:p>
      <w:pPr>
        <w:pStyle w:val="FirstParagraph"/>
      </w:pPr>
      <w:r>
        <w:t xml:space="preserve">"The most significant change was not just in the students' grades, but in their confidence. When a Special Education Teacher validates their existence and potential within the Abuja school system, it changes the trajectory of their lives." — Principal A., Garki District.</w:t>
      </w:r>
    </w:p>
    <w:bookmarkEnd w:id="23"/>
    <w:bookmarkStart w:id="24" w:name="X7afd3c80b4a1e46481a73debc34004234f15a11"/>
    <w:p>
      <w:pPr>
        <w:pStyle w:val="Heading2"/>
      </w:pPr>
      <w:r>
        <w:t xml:space="preserve">H3. Case Study Results: Impact on Student Outcomes</w:t>
      </w:r>
    </w:p>
    <w:p>
      <w:pPr>
        <w:pStyle w:val="FirstParagraph"/>
      </w:pPr>
      <w:r>
        <w:t xml:space="preserve">After twelve months of targeted intervention by specialized staff, measurable improvements were observed:</w:t>
      </w:r>
    </w:p>
    <w:p>
      <w:pPr>
        <w:numPr>
          <w:ilvl w:val="0"/>
          <w:numId w:val="1003"/>
        </w:numPr>
        <w:pStyle w:val="Compact"/>
      </w:pPr>
      <w:r>
        <w:rPr>
          <w:bCs/>
          <w:b/>
        </w:rPr>
        <w:t xml:space="preserve">Social Integration:</w:t>
      </w:r>
      <w:r>
        <w:t xml:space="preserve"> </w:t>
      </w:r>
      <w:r>
        <w:t xml:space="preserve">Bullying incidents involving students with disabilities decreased by 40%. Peer acceptance increased as classmates were educated about neurodiversity and physical impairments through inclusive activities designed by the Special Education Teacher.</w:t>
      </w:r>
    </w:p>
    <w:p>
      <w:pPr>
        <w:numPr>
          <w:ilvl w:val="0"/>
          <w:numId w:val="1003"/>
        </w:numPr>
        <w:pStyle w:val="Compact"/>
      </w:pPr>
      <w:r>
        <w:rPr>
          <w:bCs/>
          <w:b/>
        </w:rPr>
        <w:t xml:space="preserve">Academic Performance:</w:t>
      </w:r>
      <w:r>
        <w:t xml:space="preserve"> </w:t>
      </w:r>
      <w:r>
        <w:t xml:space="preserve">Students who received individualized education plans (IEPs) crafted by special education professionals showed a 25% improvement in literacy and numeracy scores compared to those receiving no support.</w:t>
      </w:r>
    </w:p>
    <w:p>
      <w:pPr>
        <w:numPr>
          <w:ilvl w:val="0"/>
          <w:numId w:val="1003"/>
        </w:numPr>
        <w:pStyle w:val="Compact"/>
      </w:pPr>
      <w:r>
        <w:rPr>
          <w:bCs/>
          <w:b/>
        </w:rPr>
        <w:t xml:space="preserve">Parental Engagement:</w:t>
      </w:r>
      <w:r>
        <w:t xml:space="preserve"> </w:t>
      </w:r>
      <w:r>
        <w:t xml:space="preserve">Parents reported higher satisfaction levels, noting that teachers communicated more effectively regarding their child's progress. This trust-building was crucial in the close-knit communities of Abuja.</w:t>
      </w:r>
    </w:p>
    <w:bookmarkEnd w:id="24"/>
    <w:bookmarkStart w:id="25" w:name="X18e8abf6f67a957955412dfedad1ebf8c261755"/>
    <w:p>
      <w:pPr>
        <w:pStyle w:val="Heading2"/>
      </w:pPr>
      <w:r>
        <w:t xml:space="preserve">H4. The Role of Culture in Special Education</w:t>
      </w:r>
    </w:p>
    <w:p>
      <w:pPr>
        <w:pStyle w:val="FirstParagraph"/>
      </w:pPr>
      <w:r>
        <w:t xml:space="preserve">A unique aspect of this Case Study is the cultural dimension. In Nigeria, extended family structures play a vital role in child-rearing. The Special Education Teacher had to navigate these dynamics carefully. By involving grandparents and extended family members in IEP meetings, teachers ensured that support systems were holistic.</w:t>
      </w:r>
    </w:p>
    <w:p>
      <w:pPr>
        <w:pStyle w:val="BodyText"/>
      </w:pPr>
      <w:r>
        <w:t xml:space="preserve">Furthermore, religious leaders in Abuja were engaged as allies. Many schools have strong ties to faith-based organizations. When clergy endorsed the work of Special Education Teachers, community stigma diminished rapidly. This highlights that effective special education in Nigeria is not just about pedagogy; it is about cultural competency.</w:t>
      </w:r>
    </w:p>
    <w:bookmarkEnd w:id="25"/>
    <w:bookmarkStart w:id="26" w:name="Xbe8c6497422f5aa4752a117ed604fb5b16403ad"/>
    <w:p>
      <w:pPr>
        <w:pStyle w:val="Heading2"/>
      </w:pPr>
      <w:r>
        <w:t xml:space="preserve">H5. Recommendations for Policy and Practice in Abuja</w:t>
      </w:r>
    </w:p>
    <w:p>
      <w:pPr>
        <w:pStyle w:val="FirstParagraph"/>
      </w:pPr>
      <w:r>
        <w:t xml:space="preserve">Based on the findings of this Case Study, several recommendations are proposed for stakeholders operating in Abuja and across Nigeria:</w:t>
      </w:r>
    </w:p>
    <w:p>
      <w:pPr>
        <w:numPr>
          <w:ilvl w:val="0"/>
          <w:numId w:val="1004"/>
        </w:numPr>
        <w:pStyle w:val="Compact"/>
      </w:pPr>
      <w:r>
        <w:rPr>
          <w:bCs/>
          <w:b/>
        </w:rPr>
        <w:t xml:space="preserve">Mandatory Special Education Training:</w:t>
      </w:r>
      <w:r>
        <w:t xml:space="preserve">All teachers in public schools in Abuja should undergo baseline training in inclusive education. The role should not be siloed to a few "Special Education Teachers" but shared collectively.</w:t>
      </w:r>
    </w:p>
    <w:p>
      <w:pPr>
        <w:numPr>
          <w:ilvl w:val="0"/>
          <w:numId w:val="1004"/>
        </w:numPr>
        <w:pStyle w:val="Compact"/>
      </w:pPr>
      <w:r>
        <w:rPr>
          <w:bCs/>
          <w:b/>
        </w:rPr>
        <w:t xml:space="preserve">Funding for Assistive Technology:</w:t>
      </w:r>
      <w:r>
        <w:t xml:space="preserve">The Federal Capital Territory Administration (FCTA) must allocate specific budgets for assistive devices, reducing the burden on individual schools and teachers.</w:t>
      </w:r>
    </w:p>
    <w:p>
      <w:pPr>
        <w:numPr>
          <w:ilvl w:val="0"/>
          <w:numId w:val="1004"/>
        </w:numPr>
        <w:pStyle w:val="Compact"/>
      </w:pPr>
      <w:r>
        <w:rPr>
          <w:bCs/>
          <w:b/>
        </w:rPr>
        <w:t xml:space="preserve">Community Sensitization Campaigns:</w:t>
      </w:r>
      <w:r>
        <w:t xml:space="preserve">Leveraging radio and social media in local languages to educate the populace about the rights of persons with disabilities is essential. The narrative must shift from pity to empowerment.</w:t>
      </w:r>
    </w:p>
    <w:p>
      <w:pPr>
        <w:numPr>
          <w:ilvl w:val="0"/>
          <w:numId w:val="1004"/>
        </w:numPr>
        <w:pStyle w:val="Compact"/>
      </w:pPr>
      <w:r>
        <w:rPr>
          <w:bCs/>
          <w:b/>
        </w:rPr>
        <w:t xml:space="preserve">Mentorship Programs:</w:t>
      </w:r>
      <w:r>
        <w:t xml:space="preserve"> </w:t>
      </w:r>
      <w:r>
        <w:t xml:space="preserve">Establishing a formal mentorship network where experienced Special Education Teachers in Abuja can guide new graduates will help retain talent and improve quality.</w:t>
      </w:r>
    </w:p>
    <w:bookmarkEnd w:id="26"/>
    <w:bookmarkStart w:id="27" w:name="h6.-conclusion"/>
    <w:p>
      <w:pPr>
        <w:pStyle w:val="Heading2"/>
      </w:pPr>
      <w:r>
        <w:t xml:space="preserve">H6. Conclusion</w:t>
      </w:r>
    </w:p>
    <w:p>
      <w:pPr>
        <w:pStyle w:val="FirstParagraph"/>
      </w:pPr>
      <w:r>
        <w:t xml:space="preserve">This Case Study demonstrates that the presence of a qualified</w:t>
      </w:r>
      <w:r>
        <w:t xml:space="preserve"> </w:t>
      </w:r>
      <w:r>
        <w:rPr>
          <w:bCs/>
          <w:b/>
        </w:rPr>
        <w:t xml:space="preserve">Special Education Teacher</w:t>
      </w:r>
      <w:r>
        <w:t xml:space="preserve"> </w:t>
      </w:r>
      <w:r>
        <w:t xml:space="preserve">is not merely an additive service but a transformative force in the educational ecosystem of Abuja, Nigeria. By addressing cultural barriers, leveraging community structures, and implementing inclusive pedagogies, these educators are unlocking potential that was previously stifled by exclusion.</w:t>
      </w:r>
    </w:p>
    <w:p>
      <w:pPr>
        <w:pStyle w:val="BodyText"/>
      </w:pPr>
      <w:r>
        <w:t xml:space="preserve">The success stories from Abuja offer a blueprint for other regions in Nigeria. As the nation continues to develop economically and socially, the inclusion of children with special needs must be viewed as a marker of national progress. The work done by Special Education Teachers in Abuja proves that when infrastructure, culture, and pedagogy align, no child is left behind.</w:t>
      </w:r>
    </w:p>
    <w:p>
      <w:pPr>
        <w:pStyle w:val="BodyText"/>
      </w:pPr>
      <w:r>
        <w:t xml:space="preserve">Future research should focus on longitudinal studies to track these students into adulthood, assessing their employment prospects and social integration further. However, the current evidence strongly supports the expansion of special education resources throughout the FCT and beyond.</w:t>
      </w:r>
    </w:p>
    <w:p>
      <w:pPr>
        <w:pStyle w:val="BodyText"/>
      </w:pPr>
      <w:r>
        <w:t xml:space="preserve">© 2023 Educational Research Initiative for West Africa. All rights reserved.</w:t>
      </w:r>
      <w:r>
        <w:br/>
      </w:r>
      <w:r>
        <w:t xml:space="preserve">Prepared for educational stakeholders in Nigeria Abuja.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Special Education Teachers in Abuja, Nigeria</dc:title>
  <dc:creator/>
  <dc:language>en</dc:language>
  <cp:keywords/>
  <dcterms:created xsi:type="dcterms:W3CDTF">2026-07-29T07:22:28Z</dcterms:created>
  <dcterms:modified xsi:type="dcterms:W3CDTF">2026-07-29T07:22:28Z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