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16f74e463c2202dd03b65d4eb97e7594a39b275"/>
    <w:p>
      <w:pPr>
        <w:pStyle w:val="Heading1"/>
      </w:pPr>
      <w:r>
        <w:t xml:space="preserve">Educating Every Child in the Northern Capital: A Case Study of a Special Education Teacher in Russia Saint Petersburg</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Implementation of Inclusive Education Practices</w:t>
      </w:r>
      <w:r>
        <w:br/>
      </w:r>
      <w:r>
        <w:rPr>
          <w:bCs/>
          <w:b/>
        </w:rPr>
        <w:t xml:space="preserve">Candidate Profile:</w:t>
      </w:r>
      <w:r>
        <w:br/>
      </w:r>
      <w:r>
        <w:t xml:space="preserve">Maria Ivanova, Special Education Teacher (Logoped and Defektologist)</w:t>
      </w:r>
      <w:r>
        <w:br/>
      </w:r>
      <w:r>
        <w:t xml:space="preserve">Location: Saint Petersburg, Russia</w:t>
      </w:r>
      <w:r>
        <w:br/>
      </w:r>
      <w:r>
        <w:t xml:space="preserve">Institution: Gymnasium No. 154 in the Admiralteysky District</w:t>
      </w:r>
    </w:p>
    <w:bookmarkStart w:id="20" w:name="introduction-and-context"/>
    <w:p>
      <w:pPr>
        <w:pStyle w:val="Heading2"/>
      </w:pPr>
      <w:r>
        <w:t xml:space="preserve">1. Introduction and Context</w:t>
      </w:r>
    </w:p>
    <w:p>
      <w:pPr>
        <w:pStyle w:val="FirstParagraph"/>
      </w:pPr>
      <w:r>
        <w:t xml:space="preserve">In recent years, the Russian Federation has made significant strides toward aligning its educational infrastructure with international standards of inclusivity. However, the transition from a segregated system of specialized boarding schools to an inclusive model within mainstream general education institutions remains complex and fraught with logistical, cultural, and pedagogical challenges. This case study examines the role of a</w:t>
      </w:r>
      <w:r>
        <w:t xml:space="preserve"> </w:t>
      </w:r>
      <w:r>
        <w:rPr>
          <w:bCs/>
          <w:b/>
        </w:rPr>
        <w:t xml:space="preserve">Special Education Teacher</w:t>
      </w:r>
      <w:r>
        <w:t xml:space="preserve"> </w:t>
      </w:r>
      <w:r>
        <w:t xml:space="preserve">operating within this evolving landscape in one of Russia's most culturally rich and academically competitive cities:</w:t>
      </w:r>
      <w:r>
        <w:t xml:space="preserve"> </w:t>
      </w:r>
      <w:r>
        <w:rPr>
          <w:bCs/>
          <w:b/>
        </w:rPr>
        <w:t xml:space="preserve">Russia Saint Petersburg</w:t>
      </w:r>
      <w:r>
        <w:t xml:space="preserve">.</w:t>
      </w:r>
    </w:p>
    <w:p>
      <w:pPr>
        <w:pStyle w:val="BodyText"/>
      </w:pPr>
      <w:r>
        <w:t xml:space="preserve">Saint Petersburg, often referred to as the cultural capital of Russia, presents a unique environment for educational innovation. The city boasts a high density of historical landmarks, strong intellectual traditions, and a diverse population that includes migrant families from Central Asia and other post-Soviet states. For special needs students in this region, access to quality education is not merely a legal right guaranteed by the Federal Law "On Education in the Russian Federation" but also a societal imperative. This document explores how one dedicated professional navigates these demands.</w:t>
      </w:r>
    </w:p>
    <w:bookmarkEnd w:id="20"/>
    <w:bookmarkStart w:id="21" w:name="professional-profile-and-methodology"/>
    <w:p>
      <w:pPr>
        <w:pStyle w:val="Heading2"/>
      </w:pPr>
      <w:r>
        <w:t xml:space="preserve">2. Professional Profile and Methodology</w:t>
      </w:r>
    </w:p>
    <w:p>
      <w:pPr>
        <w:pStyle w:val="FirstParagraph"/>
      </w:pPr>
      <w:r>
        <w:t xml:space="preserve">Maria Ivanova holds dual qualifications as a defektologist (a term used in Russia to describe specialists who work with developmental disabilities) and a logopedist (speech therapist). Her case is representative of the multi-disciplinary approach required in modern Russian special education. Unlike Western models that often separate therapy from classroom instruction, the Russian model traditionally emphasizes deep diagnostic assessment followed by intensive correctional work.</w:t>
      </w:r>
    </w:p>
    <w:p>
      <w:pPr>
        <w:pStyle w:val="BodyText"/>
      </w:pPr>
      <w:r>
        <w:t xml:space="preserve">Maria’s methodology is built upon three pillars:</w:t>
      </w:r>
    </w:p>
    <w:p>
      <w:pPr>
        <w:numPr>
          <w:ilvl w:val="0"/>
          <w:numId w:val="1001"/>
        </w:numPr>
        <w:pStyle w:val="Compact"/>
      </w:pPr>
      <w:r>
        <w:rPr>
          <w:bCs/>
          <w:b/>
        </w:rPr>
        <w:t xml:space="preserve">Educational Correctional Programs (RKP):</w:t>
      </w:r>
      <w:r>
        <w:t xml:space="preserve"> </w:t>
      </w:r>
      <w:r>
        <w:t xml:space="preserve">She develops individualized curricula compliant with the Federal State Educational Standard for Students with Disabilities (FSES OOV). This ensures that her students in Saint Petersburg meet national benchmarks while receiving tailored support.</w:t>
      </w:r>
    </w:p>
    <w:p>
      <w:pPr>
        <w:numPr>
          <w:ilvl w:val="0"/>
          <w:numId w:val="1001"/>
        </w:numPr>
        <w:pStyle w:val="Compact"/>
      </w:pPr>
      <w:r>
        <w:rPr>
          <w:bCs/>
          <w:b/>
        </w:rPr>
        <w:t xml:space="preserve">Inclusive Classroom Integration:</w:t>
      </w:r>
      <w:r>
        <w:t xml:space="preserve"> </w:t>
      </w:r>
      <w:r>
        <w:t xml:space="preserve">Maria works not just in a separate resource room, but actively co-teaches or supports teachers in mainstream classes. She acts as a bridge between the neurodiverse student and the general education curriculum.</w:t>
      </w:r>
    </w:p>
    <w:p>
      <w:pPr>
        <w:numPr>
          <w:ilvl w:val="0"/>
          <w:numId w:val="1001"/>
        </w:numPr>
        <w:pStyle w:val="Compact"/>
      </w:pPr>
      <w:r>
        <w:rPr>
          <w:bCs/>
          <w:b/>
        </w:rPr>
        <w:t xml:space="preserve">Familial Collaboration:</w:t>
      </w:r>
      <w:r>
        <w:t xml:space="preserve"> </w:t>
      </w:r>
      <w:r>
        <w:t xml:space="preserve">Recognizing the strong family-centric culture in Saint Petersburg, she engages parents extensively, providing them with tools to support therapeutic activities at home.</w:t>
      </w:r>
    </w:p>
    <w:bookmarkEnd w:id="21"/>
    <w:bookmarkStart w:id="22" w:name="case-subject-the-student"/>
    <w:p>
      <w:pPr>
        <w:pStyle w:val="Heading2"/>
      </w:pPr>
      <w:r>
        <w:t xml:space="preserve">3. Case Subject: The Student</w:t>
      </w:r>
    </w:p>
    <w:p>
      <w:pPr>
        <w:pStyle w:val="FirstParagraph"/>
      </w:pPr>
      <w:r>
        <w:t xml:space="preserve">The primary subject of this case study is "Alexei," a 10-year-old boy diagnosed with Autism Spectrum Disorder (ASD) and mild intellectual disability. Alexei attends a mainstream gymnasium in the Vasilievsky Island district of Saint Petersburg, one of the city's most prestigious residential areas. His placement was determined by the Psychological-Medical-Pedagogical Commission (PMPK), a regional body responsible for assessing children's developmental needs.</w:t>
      </w:r>
    </w:p>
    <w:p>
      <w:pPr>
        <w:pStyle w:val="BodyText"/>
      </w:pPr>
      <w:r>
        <w:t xml:space="preserve">Alexei struggles with sensory processing, social interaction, and executive function. In a noisy school hallway or during unstructured playtime, he experiences significant anxiety. However, he possesses exceptional visual-spatial skills and an encyclopedic knowledge of architectural history—a trait common among some individuals on the spectrum.</w:t>
      </w:r>
    </w:p>
    <w:bookmarkEnd w:id="22"/>
    <w:bookmarkStart w:id="23" w:name="challenges-faced-in-saint-petersburg"/>
    <w:p>
      <w:pPr>
        <w:pStyle w:val="Heading2"/>
      </w:pPr>
      <w:r>
        <w:t xml:space="preserve">4. Challenges Faced in Saint Petersburg</w:t>
      </w:r>
    </w:p>
    <w:p>
      <w:pPr>
        <w:pStyle w:val="FirstParagraph"/>
      </w:pPr>
      <w:r>
        <w:rPr>
          <w:bCs/>
          <w:b/>
        </w:rPr>
        <w:t xml:space="preserve">A. Cultural Stigma:</w:t>
      </w:r>
      <w:r>
        <w:t xml:space="preserve"> </w:t>
      </w:r>
      <w:r>
        <w:t xml:space="preserve">Despite legislative progress, deep-seated stigma regarding disability persists in parts of Russian society. Parents of neurotypical children often express concern that including students like Alexei will disrupt the learning environment or dilute academic rigor. Maria frequently faces resistance from conservative segments of the parent community who view special education as a burden on the collective.</w:t>
      </w:r>
    </w:p>
    <w:p>
      <w:pPr>
        <w:pStyle w:val="BodyText"/>
      </w:pPr>
      <w:r>
        <w:rPr>
          <w:bCs/>
          <w:b/>
        </w:rPr>
        <w:t xml:space="preserve">B. Infrastructure Limitations:</w:t>
      </w:r>
      <w:r>
        <w:t xml:space="preserve"> </w:t>
      </w:r>
      <w:r>
        <w:t xml:space="preserve">While Saint Petersburg has invested heavily in renovating schools, many older buildings lack adequate sensory-friendly spaces, elevators, or quiet zones. Gymnasium No. 154, while well-funded, is housed in a historic building with narrow corridors and limited accessibility modifications.</w:t>
      </w:r>
    </w:p>
    <w:p>
      <w:pPr>
        <w:pStyle w:val="BodyText"/>
      </w:pPr>
      <w:r>
        <w:rPr>
          <w:bCs/>
          <w:b/>
        </w:rPr>
        <w:t xml:space="preserve">C. Resource Scarcity:</w:t>
      </w:r>
      <w:r>
        <w:t xml:space="preserve"> </w:t>
      </w:r>
      <w:r>
        <w:t xml:space="preserve">There is a chronic shortage of qualified special education teachers in Russia Saint Petersburg compared to the demand. Many schools operate with one resource teacher serving hundreds of students, leading to burnout and diluted support quality.</w:t>
      </w:r>
    </w:p>
    <w:bookmarkEnd w:id="23"/>
    <w:bookmarkStart w:id="24" w:name="interventions-and-strategies"/>
    <w:p>
      <w:pPr>
        <w:pStyle w:val="Heading2"/>
      </w:pPr>
      <w:r>
        <w:t xml:space="preserve">5. Interventions and Strategies</w:t>
      </w:r>
    </w:p>
    <w:p>
      <w:pPr>
        <w:pStyle w:val="FirstParagraph"/>
      </w:pPr>
      <w:r>
        <w:t xml:space="preserve">To address Alexei’s needs, Maria implemented a multifaceted intervention plan:</w:t>
      </w:r>
    </w:p>
    <w:p>
      <w:pPr>
        <w:numPr>
          <w:ilvl w:val="0"/>
          <w:numId w:val="1002"/>
        </w:numPr>
        <w:pStyle w:val="Compact"/>
      </w:pPr>
      <w:r>
        <w:rPr>
          <w:bCs/>
          <w:b/>
        </w:rPr>
        <w:t xml:space="preserve">Sensory Integration Room Utilization:</w:t>
      </w:r>
    </w:p>
    <w:p>
      <w:pPr>
        <w:numPr>
          <w:ilvl w:val="0"/>
          <w:numId w:val="1002"/>
        </w:numPr>
        <w:pStyle w:val="Compact"/>
      </w:pPr>
      <w:r>
        <w:rPr>
          <w:bCs/>
          <w:b/>
        </w:rPr>
        <w:t xml:space="preserve">Visual Schedules and Social Stories:</w:t>
      </w:r>
    </w:p>
    <w:p>
      <w:pPr>
        <w:numPr>
          <w:ilvl w:val="0"/>
          <w:numId w:val="1000"/>
        </w:numPr>
        <w:pStyle w:val="Compact"/>
      </w:pPr>
      <w:r>
        <w:t xml:space="preserve">To mitigate anxiety during transitions, Maria created personalized visual schedules using icons. She also wrote social stories explaining expected behaviors in the cafeteria and gymnasium, helping Alexei navigate social nuances.</w:t>
      </w:r>
    </w:p>
    <w:p>
      <w:pPr>
        <w:numPr>
          <w:ilvl w:val="0"/>
          <w:numId w:val="1002"/>
        </w:numPr>
        <w:pStyle w:val="Compact"/>
      </w:pPr>
      <w:r>
        <w:rPr>
          <w:bCs/>
          <w:b/>
        </w:rPr>
        <w:t xml:space="preserve">Leveraging Interests for Engagement:</w:t>
      </w:r>
    </w:p>
    <w:p>
      <w:pPr>
        <w:numPr>
          <w:ilvl w:val="0"/>
          <w:numId w:val="1002"/>
        </w:numPr>
        <w:pStyle w:val="Compact"/>
      </w:pPr>
      <w:r>
        <w:rPr>
          <w:bCs/>
          <w:b/>
        </w:rPr>
        <w:t xml:space="preserve">Teacher Training Workshops:</w:t>
      </w:r>
    </w:p>
    <w:bookmarkEnd w:id="24"/>
    <w:bookmarkStart w:id="25" w:name="outcomes-and-impact"/>
    <w:p>
      <w:pPr>
        <w:pStyle w:val="Heading2"/>
      </w:pPr>
      <w:r>
        <w:t xml:space="preserve">6. Outcomes and Impact</w:t>
      </w:r>
    </w:p>
    <w:p>
      <w:pPr>
        <w:pStyle w:val="FirstParagraph"/>
      </w:pPr>
      <w:r>
        <w:t xml:space="preserve">After six months of intensive support, measurable improvements were observed:</w:t>
      </w:r>
    </w:p>
    <w:p>
      <w:pPr>
        <w:numPr>
          <w:ilvl w:val="0"/>
          <w:numId w:val="1003"/>
        </w:numPr>
        <w:pStyle w:val="Compact"/>
      </w:pPr>
      <w:r>
        <w:t xml:space="preserve">Alexei’s anxiety episodes decreased by 60%, as recorded in behavioral logs.</w:t>
      </w:r>
    </w:p>
    <w:p>
      <w:pPr>
        <w:numPr>
          <w:ilvl w:val="0"/>
          <w:numId w:val="1003"/>
        </w:numPr>
        <w:pStyle w:val="Compact"/>
      </w:pPr>
      <w:r>
        <w:t xml:space="preserve">He began participating in group projects, particularly those involving visual arts and construction.</w:t>
      </w:r>
    </w:p>
    <w:p>
      <w:pPr>
        <w:numPr>
          <w:ilvl w:val="0"/>
          <w:numId w:val="1003"/>
        </w:numPr>
        <w:pStyle w:val="Compact"/>
      </w:pPr>
      <w:r>
        <w:t xml:space="preserve">Peer attitudes shifted positively. Classmates began to view Alexei not as a disruption, but as a talented peer with unique contributions. Several students initiated informal friendships with him during recess.</w:t>
      </w:r>
    </w:p>
    <w:p>
      <w:pPr>
        <w:pStyle w:val="FirstParagraph"/>
      </w:pPr>
      <w:r>
        <w:t xml:space="preserve">Maria’s success also had broader institutional impacts. The principal of Gymnasium No. 154 used her case study to advocate for additional funding from the Saint Petersburg Committee for Education, resulting in two new sensory rooms across the district.</w:t>
      </w:r>
    </w:p>
    <w:bookmarkEnd w:id="25"/>
    <w:bookmarkStart w:id="26" w:name="discussion-and-broader-implications"/>
    <w:p>
      <w:pPr>
        <w:pStyle w:val="Heading2"/>
      </w:pPr>
      <w:r>
        <w:t xml:space="preserve">7. Discussion and Broader Implications</w:t>
      </w:r>
    </w:p>
    <w:p>
      <w:pPr>
        <w:pStyle w:val="FirstParagraph"/>
      </w:pPr>
      <w:r>
        <w:t xml:space="preserve">The case of Maria Ivanova illustrates that effective</w:t>
      </w:r>
      <w:r>
        <w:t xml:space="preserve"> </w:t>
      </w:r>
      <w:r>
        <w:rPr>
          <w:bCs/>
          <w:b/>
        </w:rPr>
        <w:t xml:space="preserve">Special Education Teacher</w:t>
      </w:r>
      <w:r>
        <w:t xml:space="preserve"> </w:t>
      </w:r>
      <w:r>
        <w:t xml:space="preserve">practice in</w:t>
      </w:r>
      <w:r>
        <w:t xml:space="preserve"> </w:t>
      </w:r>
      <w:r>
        <w:rPr>
          <w:bCs/>
          <w:b/>
        </w:rPr>
        <w:t xml:space="preserve">Russia Saint Petersburg</w:t>
      </w:r>
      <w:r>
        <w:t xml:space="preserve"> </w:t>
      </w:r>
      <w:r>
        <w:t xml:space="preserve">requires more than technical expertise; it demands cultural sensitivity, advocacy skills, and resilience. The unique context of the city—its historical significance, academic pressure, and demographic diversity—shapes how inclusion is perceived and implemented.</w:t>
      </w:r>
    </w:p>
    <w:p>
      <w:pPr>
        <w:pStyle w:val="BodyText"/>
      </w:pPr>
      <w:r>
        <w:t xml:space="preserve">Furthermore, this case highlights the critical role of local PMPK commissions. In Saint Petersburg these bodies are generally more progressive than in rural regions of Russia providing better diagnostic accuracy and resource allocation. However disparities remain between wealthy districts like Petrogradsky or Vasilievsky Islandand poorer industrial areas such as Krasnoselsky.</w:t>
      </w:r>
    </w:p>
    <w:p>
      <w:pPr>
        <w:pStyle w:val="BodyText"/>
      </w:pPr>
      <w:r>
        <w:t xml:space="preserve">For policymakers it is evident that simply passing laws on inclusion is insufficient without sustained investment in teacher training infrastructure and public awareness campaigns addressing stigma.</w:t>
      </w:r>
    </w:p>
    <w:bookmarkEnd w:id="26"/>
    <w:bookmarkStart w:id="27" w:name="conclusion"/>
    <w:p>
      <w:pPr>
        <w:pStyle w:val="Heading2"/>
      </w:pPr>
      <w:r>
        <w:t xml:space="preserve">8. Conclusion</w:t>
      </w:r>
    </w:p>
    <w:p>
      <w:pPr>
        <w:pStyle w:val="FirstParagraph"/>
      </w:pPr>
      <w:r>
        <w:t xml:space="preserve">"Inclusion is not about fitting the child into the system but adapting the system to fit the child."</w:t>
      </w:r>
    </w:p>
    <w:p>
      <w:pPr>
        <w:pStyle w:val="BodyText"/>
      </w:pPr>
      <w:r>
        <w:t xml:space="preserve">This case study underscores that while challenges persist, dedicated professionals like Maria Ivanova are transforming education in</w:t>
      </w:r>
      <w:r>
        <w:t xml:space="preserve"> </w:t>
      </w:r>
      <w:r>
        <w:rPr>
          <w:bCs/>
          <w:b/>
        </w:rPr>
        <w:t xml:space="preserve">Russia Saint Petersburg</w:t>
      </w:r>
      <w:r>
        <w:t xml:space="preserve">. By combining rigorous diagnostic methods with compassionate, individualized interventions they demonstrate that every child regardless of their disability can thrive in an inclusive environment. Future efforts must focus on scaling these successes ensuring that all children in Russia have access to equitable and dignified educational opportunities.</w:t>
      </w:r>
      <w:r>
        <w:br/>
      </w:r>
      <w:r>
        <w:br/>
      </w:r>
      <w:r>
        <w:rPr>
          <w:iCs/>
          <w:i/>
        </w:rPr>
        <w:t xml:space="preserve">End of Case Study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Special Education Teacher in Russia Saint Petersburg</dc:title>
  <dc:creator/>
  <dc:language>en</dc:language>
  <cp:keywords/>
  <dcterms:created xsi:type="dcterms:W3CDTF">2026-07-29T17:19:25Z</dcterms:created>
  <dcterms:modified xsi:type="dcterms:W3CDTF">2026-07-29T17:19:25Z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