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4aa42b8b9ff4e11de6559f7343e50eaf62a2add"/>
    <w:p>
      <w:pPr>
        <w:pStyle w:val="Heading1"/>
      </w:pPr>
      <w:r>
        <w:t xml:space="preserve">Case Study Professional Integration and Pedagogical Innovation of Special Education Teachers within United Kingdom London</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Context:</w:t>
      </w:r>
      <w:r>
        <w:t xml:space="preserve"> </w:t>
      </w:r>
      <w:r>
        <w:t xml:space="preserve">United Kingdom London</w:t>
      </w:r>
    </w:p>
    <w:bookmarkStart w:id="20" w:name="h1.-executive-summary"/>
    <w:p>
      <w:pPr>
        <w:pStyle w:val="Heading2"/>
      </w:pPr>
      <w:r>
        <w:t xml:space="preserve">H1. Executive Summary</w:t>
      </w:r>
    </w:p>
    <w:p>
      <w:pPr>
        <w:pStyle w:val="FirstParagraph"/>
      </w:pPr>
      <w:r>
        <w:t xml:space="preserve">This case study examines the critical role of the Special Education Teacher within the dynamic educational landscape of United Kingdom London. As one of the most diverse and densely populated metropolitan areas in Europe, London presents unique challenges and opportunities for inclusive education. The document explores how a dedicated Special Education Teacher navigates statutory frameworks such as SEND Code 2015, addresses socioeconomic disparities, and implements evidence-based interventions to support students with special educational needs (SEN). This analysis underscores the necessity of specialized pedagogical strategies in ensuring equitable access to learning for neurodiverse and physically impaired students across the capital.</w:t>
      </w:r>
    </w:p>
    <w:bookmarkEnd w:id="20"/>
    <w:bookmarkStart w:id="21" w:name="Xa6caefe6004aa71edb07d23e03680058dec2e5d"/>
    <w:p>
      <w:pPr>
        <w:pStyle w:val="Heading2"/>
      </w:pPr>
      <w:r>
        <w:t xml:space="preserve">H2. Background: The Context of United Kingdom London</w:t>
      </w:r>
    </w:p>
    <w:p>
      <w:pPr>
        <w:pStyle w:val="FirstParagraph"/>
      </w:pPr>
      <w:r>
        <w:t xml:space="preserve">London is characterized by its cultural diversity, linguistic variety, and significant socioeconomic stratification. These factors profoundly influence the educational experiences of children with additional needs. In many boroughs within United Kingdom London, schools serve communities where language barriers intersect with disability diagnoses. For instance, a child in Newham or Tower Hamlets may present with autism spectrum disorder (ASD) while simultaneously being an English as an Additional Language (EAL) speaker. This dual challenge requires a nuanced approach that goes beyond standard special educational provision.</w:t>
      </w:r>
    </w:p>
    <w:p>
      <w:pPr>
        <w:pStyle w:val="BodyText"/>
      </w:pPr>
      <w:r>
        <w:t xml:space="preserve">The pressure on state-funded schools in the capital is intensifying due to rising demand for Educational, Health and Care Plans (EHCPs). Consequently, the role of the Special Education Teacher has evolved from a support position to a central strategic function within school leadership teams. They are now expected to lead whole-school inclusion policies, train general teaching staff, and collaborate closely with external agencies including health professionals and social workers.</w:t>
      </w:r>
    </w:p>
    <w:bookmarkEnd w:id="21"/>
    <w:bookmarkStart w:id="30" w:name="h3.-case-profile-sarah-in-south-london"/>
    <w:p>
      <w:pPr>
        <w:pStyle w:val="Heading2"/>
      </w:pPr>
      <w:r>
        <w:t xml:space="preserve">H3. Case Profile: "Sarah" in South London</w:t>
      </w:r>
    </w:p>
    <w:p>
      <w:pPr>
        <w:pStyle w:val="FirstParagraph"/>
      </w:pPr>
      <w:r>
        <w:rPr>
          <w:bCs/>
          <w:b/>
        </w:rPr>
        <w:t xml:space="preserve">Subject:</w:t>
      </w:r>
      <w:r>
        <w:t xml:space="preserve"> </w:t>
      </w:r>
      <w:r>
        <w:t xml:space="preserve">Sarah (Pseudonym)</w:t>
      </w:r>
      <w:r>
        <w:br/>
      </w:r>
      <w:r>
        <w:rPr>
          <w:bCs/>
          <w:b/>
        </w:rPr>
        <w:t xml:space="preserve">Age:</w:t>
      </w:r>
      <w:r>
        <w:t xml:space="preserve"> </w:t>
      </w:r>
      <w:r>
        <w:t xml:space="preserve">10 years old</w:t>
      </w:r>
      <w:r>
        <w:br/>
      </w:r>
      <w:r>
        <w:rPr>
          <w:bCs/>
          <w:b/>
        </w:rPr>
        <w:t xml:space="preserve">Demographic:</w:t>
      </w:r>
      <w:r>
        <w:t xml:space="preserve"> </w:t>
      </w:r>
      <w:r>
        <w:t xml:space="preserve">Resident of a high-deprivation ward in South London.</w:t>
      </w:r>
      <w:r>
        <w:br/>
      </w:r>
    </w:p>
    <w:p>
      <w:pPr>
        <w:pStyle w:val="BodyText"/>
      </w:pPr>
      <w:r>
        <w:rPr>
          <w:bCs/>
          <w:b/>
        </w:rPr>
        <w:t xml:space="preserve">D</w:t>
      </w:r>
      <w:r>
        <w:t xml:space="preserve">iagnoses: Attention Deficit Hyperactivity Disorder (ADHD), dyslexia, and moderate anxiety.</w:t>
      </w:r>
    </w:p>
    <w:p>
      <w:pPr>
        <w:pStyle w:val="BodyText"/>
      </w:pPr>
      <w:r>
        <w:t xml:space="preserve">Sarah attends a large primary school in United Kingdom London. Upon enrollment, she struggled with peer interaction, exhibited disruptive behavior during transitions between classes, and had significantly fallen behind her peers in literacy assessments. Her initial Individual Education Plan (IEP) was generic and did not address the root causes of her engagement issues: sensory overload in crowded classrooms and a lack of structured visual scaffolding.</w:t>
      </w:r>
    </w:p>
    <w:bookmarkStart w:id="26" w:name="X394a65599c7fd3bafade13df791683e44dc322d"/>
    <w:p>
      <w:pPr>
        <w:pStyle w:val="Heading2"/>
      </w:pPr>
      <w:r>
        <w:t xml:space="preserve">H4. Intervention Strategies Employed by the Special Education Teacher</w:t>
      </w:r>
    </w:p>
    <w:p>
      <w:pPr>
        <w:pStyle w:val="FirstParagraph"/>
      </w:pPr>
      <w:r>
        <w:t xml:space="preserve">The assigned Special Education Teacher recognized that a one-size-fits-all approach was ineffective for Sarah within the bustling environment of London schools. The following multi-tiered intervention strategy was implemented:</w:t>
      </w:r>
    </w:p>
    <w:bookmarkStart w:id="22" w:name="sensory-adaptive-learning-environments"/>
    <w:p>
      <w:pPr>
        <w:pStyle w:val="Heading3"/>
      </w:pPr>
      <w:r>
        <w:t xml:space="preserve">1. Sensory-Adaptive Learning Environments</w:t>
      </w:r>
    </w:p>
    <w:p>
      <w:pPr>
        <w:pStyle w:val="FirstParagraph"/>
      </w:pPr>
      <w:r>
        <w:t xml:space="preserve">Acknowledging the sensory sensitivities associated with ADHD, the Special Education Teacher worked with classroom assistants to create a "sensory corner" within Sarah’s main classroom. This area featured noise-canceling headphones and weighted blankets, allowing Sarah self-regulate when overwhelmed by the typical auditory stimuli of a London primary school playground or assembly.</w:t>
      </w:r>
    </w:p>
    <w:bookmarkEnd w:id="22"/>
    <w:bookmarkStart w:id="23" w:name="multisensory-literacy-interventions"/>
    <w:p>
      <w:pPr>
        <w:pStyle w:val="Heading3"/>
      </w:pPr>
      <w:r>
        <w:t xml:space="preserve">2. Multisensory Literacy Interventions</w:t>
      </w:r>
    </w:p>
    <w:p>
      <w:pPr>
        <w:pStyle w:val="FirstParagraph"/>
      </w:pPr>
      <w:r>
        <w:t xml:space="preserve">To address dyslexia, the teacher implemented the Orton-Gillingham approach, utilizing multisensory techniques that combine visual, auditory, and kinesthetic learning paths. Recognizing Sarah’s anxiety regarding public failure, sessions were conducted in small groups of three rather than one-on-one initially to build confidence in a low-stakes peer environment.</w:t>
      </w:r>
    </w:p>
    <w:bookmarkEnd w:id="23"/>
    <w:bookmarkStart w:id="24" w:name="Xeafb00a461a2304d2a4d51b97604e1ae8b38b8c"/>
    <w:p>
      <w:pPr>
        <w:pStyle w:val="Heading3"/>
      </w:pPr>
      <w:r>
        <w:t xml:space="preserve">3. Social-Emotional Learning (SEL) Integration</w:t>
      </w:r>
    </w:p>
    <w:p>
      <w:pPr>
        <w:pStyle w:val="FirstParagraph"/>
      </w:pPr>
      <w:r>
        <w:t xml:space="preserve">The Special Education Teacher introduced a "Peace Place" protocol, teaching Sarah specific coping mechanisms for anxiety. This involved teaching mindfulness exercises tailored for children with neurodivergent traits, such as "box breathing," which could be discreetly practiced during lessons without drawing undue attention.</w:t>
      </w:r>
    </w:p>
    <w:bookmarkEnd w:id="24"/>
    <w:bookmarkStart w:id="25" w:name="collaboration-with-external-agencies"/>
    <w:p>
      <w:pPr>
        <w:pStyle w:val="Heading3"/>
      </w:pPr>
      <w:r>
        <w:t xml:space="preserve">4. Collaboration with External Agencies</w:t>
      </w:r>
    </w:p>
    <w:p>
      <w:pPr>
        <w:pStyle w:val="FirstParagraph"/>
      </w:pPr>
      <w:r>
        <w:t xml:space="preserve">In line with UK statutory requirements, the teacher facilitated a multi-agency meeting involving Occupational Therapists and School Psychologists. This ensured that the support provided in school was consistent with therapeutic recommendations, creating a cohesive support network for Sarah.</w:t>
      </w:r>
    </w:p>
    <w:bookmarkEnd w:id="25"/>
    <w:bookmarkEnd w:id="26"/>
    <w:bookmarkStart w:id="27" w:name="h5.-outcomes-and-impact-assessment"/>
    <w:p>
      <w:pPr>
        <w:pStyle w:val="Heading2"/>
      </w:pPr>
      <w:r>
        <w:t xml:space="preserve">H5. Outcomes and Impact Assessment</w:t>
      </w:r>
    </w:p>
    <w:p>
      <w:pPr>
        <w:pStyle w:val="FirstParagraph"/>
      </w:pPr>
      <w:r>
        <w:t xml:space="preserve">After six months of targeted intervention led by the Special Education Teacher, significant improvements were observed:</w:t>
      </w:r>
    </w:p>
    <w:p>
      <w:pPr>
        <w:numPr>
          <w:ilvl w:val="0"/>
          <w:numId w:val="1001"/>
        </w:numPr>
        <w:pStyle w:val="Compact"/>
      </w:pPr>
      <w:r>
        <w:t xml:space="preserve">Sarah moved from "below expected standards" to "meeting expected standards" in phonics and reading comprehension assessments.</w:t>
      </w:r>
    </w:p>
    <w:p>
      <w:pPr>
        <w:numPr>
          <w:ilvl w:val="0"/>
          <w:numId w:val="1001"/>
        </w:numPr>
        <w:pStyle w:val="Compact"/>
      </w:pPr>
      <w:r>
        <w:t xml:space="preserve">Recorded instances of disruptive behavior decreased by 60%, largely due to the proactive use of sensory breaks and clear visual timetables.</w:t>
      </w:r>
    </w:p>
    <w:p>
      <w:pPr>
        <w:numPr>
          <w:ilvl w:val="0"/>
          <w:numId w:val="1001"/>
        </w:numPr>
        <w:pStyle w:val="Compact"/>
      </w:pPr>
      <w:r>
        <w:t xml:space="preserve">Sarah began initiating play interactions during break times, indicating reduced social anxiety and improved peer relationships.</w:t>
      </w:r>
    </w:p>
    <w:p>
      <w:pPr>
        <w:pStyle w:val="FirstParagraph"/>
      </w:pPr>
      <w:r>
        <w:t xml:space="preserve">The success of Sarah’s case was not isolated. The Special Education Teacher documented these strategies in the school’s inclusion handbook, thereby upskilling the entire teaching staff. This ripple effect meant that other students with mild SEN benefits from a more inclusive classroom culture across United Kingdom London.</w:t>
      </w:r>
    </w:p>
    <w:bookmarkEnd w:id="27"/>
    <w:bookmarkStart w:id="28" w:name="X1d58788d167d13119b4be0d2a62e1c216fed342"/>
    <w:p>
      <w:pPr>
        <w:pStyle w:val="Heading2"/>
      </w:pPr>
      <w:r>
        <w:t xml:space="preserve">H6. Challenges Specific to United Kingdom London</w:t>
      </w:r>
    </w:p>
    <w:p>
      <w:pPr>
        <w:pStyle w:val="FirstParagraph"/>
      </w:pPr>
      <w:r>
        <w:t xml:space="preserve">Despite the success, several systemic challenges persist for Special Education Teachers in this region:</w:t>
      </w:r>
    </w:p>
    <w:p>
      <w:pPr>
        <w:numPr>
          <w:ilvl w:val="0"/>
          <w:numId w:val="1002"/>
        </w:numPr>
        <w:pStyle w:val="Compact"/>
      </w:pPr>
      <w:r>
        <w:rPr>
          <w:bCs/>
          <w:b/>
        </w:rPr>
        <w:t xml:space="preserve">Funding Disparities:</w:t>
      </w:r>
      <w:r>
        <w:t xml:space="preserve"> </w:t>
      </w:r>
      <w:r>
        <w:t xml:space="preserve">Bernie Clark’s Formula highlights that funding per pupil varies significantly across UK boroughs. Schools in high-deprivation areas of London often receive less funding relative to their complex needs compared to affluent boroughs, straining resources.</w:t>
      </w:r>
    </w:p>
    <w:p>
      <w:pPr>
        <w:numPr>
          <w:ilvl w:val="0"/>
          <w:numId w:val="1002"/>
        </w:numPr>
        <w:pStyle w:val="Compact"/>
      </w:pPr>
      <w:r>
        <w:rPr>
          <w:bCs/>
          <w:b/>
        </w:rPr>
        <w:t xml:space="preserve">High Staff Turnover:</w:t>
      </w:r>
      <w:r>
        <w:t xml:space="preserve"> </w:t>
      </w:r>
      <w:r>
        <w:t xml:space="preserve">The cost of living in London leads to high turnover rates among teaching assistants and support staff. This instability can disrupt the consistent relationships that children with SEN require for emotional security.</w:t>
      </w:r>
    </w:p>
    <w:p>
      <w:pPr>
        <w:numPr>
          <w:ilvl w:val="0"/>
          <w:numId w:val="1002"/>
        </w:numPr>
        <w:pStyle w:val="Compact"/>
      </w:pPr>
      <w:r>
        <w:rPr>
          <w:bCs/>
          <w:b/>
        </w:rPr>
        <w:t xml:space="preserve">Bureaucratic Burden:</w:t>
      </w:r>
      <w:r>
        <w:t xml:space="preserve"> </w:t>
      </w:r>
      <w:r>
        <w:t xml:space="preserve">The administrative load of writing EHCPs and monitoring progress data consumes a significant portion of the Special Education Teacher’s week, leaving less time for direct student interaction and professional development.</w:t>
      </w:r>
    </w:p>
    <w:bookmarkEnd w:id="28"/>
    <w:bookmarkStart w:id="29" w:name="h7.-conclusion-and-recommendations"/>
    <w:p>
      <w:pPr>
        <w:pStyle w:val="Heading2"/>
      </w:pPr>
      <w:r>
        <w:t xml:space="preserve">H7. Conclusion and Recommendations</w:t>
      </w:r>
    </w:p>
    <w:p>
      <w:pPr>
        <w:pStyle w:val="FirstParagraph"/>
      </w:pPr>
      <w:r>
        <w:t xml:space="preserve">This case study demonstrates that the Special Education Teacher is an indispensable asset to the educational ecosystem in United Kingdom London. Their ability to blend clinical understanding with pedagogical creativity transforms potential barriers into opportunities for growth. For students like Sarah, these professionals provide not just academic support, but essential life skills for social inclusion.</w:t>
      </w:r>
    </w:p>
    <w:p>
      <w:pPr>
        <w:pStyle w:val="BodyText"/>
      </w:pPr>
      <w:r>
        <w:t xml:space="preserve">To sustain and improve this model, it is recommended that:</w:t>
      </w:r>
    </w:p>
    <w:p>
      <w:pPr>
        <w:numPr>
          <w:ilvl w:val="0"/>
          <w:numId w:val="1003"/>
        </w:numPr>
        <w:pStyle w:val="Compact"/>
      </w:pPr>
      <w:r>
        <w:t xml:space="preserve">The Department for Education in the UK increases ring-fenced funding for SEN provision in high-density urban areas like London.</w:t>
      </w:r>
    </w:p>
    <w:p>
      <w:pPr>
        <w:numPr>
          <w:ilvl w:val="0"/>
          <w:numId w:val="1003"/>
        </w:numPr>
        <w:pStyle w:val="Compact"/>
      </w:pPr>
      <w:r>
        <w:t xml:space="preserve">Schools invest in continuous professional development specifically focused on trauma-informed care and neurodiversity-affirming practices.</w:t>
      </w:r>
    </w:p>
    <w:p>
      <w:pPr>
        <w:numPr>
          <w:ilvl w:val="0"/>
          <w:numId w:val="1003"/>
        </w:numPr>
        <w:pStyle w:val="Compact"/>
      </w:pPr>
      <w:r>
        <w:t xml:space="preserve">Policies are enacted to reduce the administrative burden on Special Education Teachers, allowing them to focus more on direct student support and less on paperwork.</w:t>
      </w:r>
    </w:p>
    <w:p>
      <w:pPr>
        <w:pStyle w:val="FirstParagraph"/>
      </w:pPr>
      <w:r>
        <w:t xml:space="preserve">In conclusion, the dedication of Special Education Teachers in United Kingdom London serves as a benchmark for inclusive education globally. By addressing both the academic and emotional needs of vulnerable students, they play a pivotal role in shaping a more equitable society.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Special Education Teachers in United Kingdom London</dc:title>
  <dc:creator/>
  <dc:language>en</dc:language>
  <cp:keywords/>
  <dcterms:created xsi:type="dcterms:W3CDTF">2026-07-29T23:09:16Z</dcterms:created>
  <dcterms:modified xsi:type="dcterms:W3CDTF">2026-07-29T23:09:16Z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