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Excellence</w:t>
      </w:r>
      <w:r>
        <w:t xml:space="preserve"> </w:t>
      </w:r>
      <w:r>
        <w:t xml:space="preserve">in</w:t>
      </w:r>
      <w:r>
        <w:t xml:space="preserve"> </w:t>
      </w:r>
      <w:r>
        <w:t xml:space="preserve">China</w:t>
      </w:r>
      <w:r>
        <w:t xml:space="preserve"> </w:t>
      </w:r>
      <w:r>
        <w:t xml:space="preserve">Shanghai</w:t>
      </w:r>
    </w:p>
    <w:bookmarkStart w:id="31" w:name="X1fbd950bcb221f4d045287daa0028c85658cec3"/>
    <w:p>
      <w:pPr>
        <w:pStyle w:val="Heading1"/>
      </w:pPr>
      <w:r>
        <w:t xml:space="preserve">Bridging Tradition and Innovation: A Systems Engineering Case Study in China Shanghai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Project Review</w:t>
      </w:r>
      <w:r>
        <w:br/>
      </w:r>
      <w:r>
        <w:rPr>
          <w:bCs/>
          <w:b/>
        </w:rPr>
        <w:t xml:space="preserve">Subject:</w:t>
      </w:r>
      <w:r>
        <w:t xml:space="preserve">The Integration of Autonomous Logistics Networks</w:t>
      </w:r>
    </w:p>
    <w:bookmarkStart w:id="20" w:name="executive-summary"/>
    <w:p>
      <w:pPr>
        <w:pStyle w:val="Heading2"/>
      </w:pPr>
      <w:r>
        <w:t xml:space="preserve">Executive Summary</w:t>
      </w:r>
    </w:p>
    <w:p>
      <w:pPr>
        <w:pStyle w:val="FirstParagraph"/>
      </w:pPr>
      <w:r>
        <w:t xml:space="preserve">In the rapidly evolving landscape of global technology, the role of a</w:t>
      </w:r>
    </w:p>
    <w:p>
      <w:pPr>
        <w:pStyle w:val="BodyText"/>
      </w:pPr>
      <w:r>
        <w:t xml:space="preserve">, where traditional industrial infrastructure meets cutting-edge digital transformation. The primary objective was to design and implement an integrated autonomous logistics system for a major manufacturing hub located within the bustling Huangpu District of</w:t>
      </w:r>
    </w:p>
    <w:p>
      <w:pPr>
        <w:pStyle w:val="BodyText"/>
      </w:pPr>
      <w:r>
        <w:t xml:space="preserve">. This document explores how Systems Engineering principles were applied to navigate the unique regulatory, technical, and cultural challenges inherent in this specific geographic context.</w:t>
      </w:r>
    </w:p>
    <w:bookmarkEnd w:id="20"/>
    <w:bookmarkStart w:id="21" w:name="Xd582757cbebfbbd4280cec80edabbb60ed5c6b7"/>
    <w:p>
      <w:pPr>
        <w:pStyle w:val="Heading2"/>
      </w:pPr>
      <w:r>
        <w:t xml:space="preserve">1. Contextual Background: The Dynamic Environment of China Shanghai</w:t>
      </w:r>
    </w:p>
    <w:p>
      <w:pPr>
        <w:pStyle w:val="FirstParagraph"/>
      </w:pPr>
      <w:r>
        <w:t xml:space="preserve">, which faced increasing pressure to reduce carbon emissions while doubling its throughput capacity within three years.</w:t>
      </w:r>
    </w:p>
    <w:p>
      <w:pPr>
        <w:pStyle w:val="BodyText"/>
      </w:pPr>
      <w:r>
        <w:t xml:space="preserve">The local ecosystem in</w:t>
      </w:r>
    </w:p>
    <w:p>
      <w:pPr>
        <w:pStyle w:val="BodyText"/>
      </w:pPr>
      <w:r>
        <w:t xml:space="preserve">and international supply chain standards created a complex constraint space that required sophisticated systems thinking.</w:t>
      </w:r>
    </w:p>
    <w:bookmarkEnd w:id="21"/>
    <w:bookmarkStart w:id="22" w:name="the-role-of-the-systems-engineer"/>
    <w:p>
      <w:pPr>
        <w:pStyle w:val="Heading2"/>
      </w:pPr>
      <w:r>
        <w:t xml:space="preserve">2. The Role of the Systems Engineer</w:t>
      </w:r>
    </w:p>
    <w:p>
      <w:pPr>
        <w:pStyle w:val="FirstParagraph"/>
      </w:pPr>
      <w:r>
        <w:t xml:space="preserve">The</w:t>
      </w:r>
    </w:p>
    <w:p>
      <w:pPr>
        <w:pStyle w:val="BodyText"/>
      </w:pPr>
      <w:r>
        <w:t xml:space="preserve">in this project included:</w:t>
      </w:r>
    </w:p>
    <w:p>
      <w:pPr>
        <w:numPr>
          <w:ilvl w:val="0"/>
          <w:numId w:val="1001"/>
        </w:numPr>
        <w:pStyle w:val="Compact"/>
      </w:pPr>
      <w:r>
        <w:rPr>
          <w:bCs/>
          <w:b/>
        </w:rPr>
        <w:t xml:space="preserve">Holistic Requirement Analysis:</w:t>
      </w:r>
      <w:r>
        <w:t xml:space="preserve"> </w:t>
      </w:r>
      <w:r>
        <w:t xml:space="preserve">Translating vague business goals into precise technical requirements. For instance, converting the desire for "faster delivery" in</w:t>
      </w:r>
    </w:p>
    <w:p>
      <w:pPr>
        <w:numPr>
          <w:ilvl w:val="0"/>
          <w:numId w:val="1000"/>
        </w:numPr>
        <w:pStyle w:val="Compact"/>
      </w:pPr>
      <w:r>
        <w:t xml:space="preserve">'s market into specific latency metrics and automation triggers.</w:t>
      </w:r>
    </w:p>
    <w:p>
      <w:pPr>
        <w:numPr>
          <w:ilvl w:val="0"/>
          <w:numId w:val="1001"/>
        </w:numPr>
        <w:pStyle w:val="Compact"/>
      </w:pPr>
      <w:r>
        <w:rPr>
          <w:bCs/>
          <w:b/>
        </w:rPr>
        <w:t xml:space="preserve">Stakeholder Management:</w:t>
      </w:r>
      <w:r>
        <w:t xml:space="preserve"> </w:t>
      </w:r>
      <w:r>
        <w:t xml:space="preserve">Facilitating communication between English-speaking engineering teams and Mandarin-speaking local operators. The</w:t>
      </w:r>
    </w:p>
    <w:p>
      <w:pPr>
        <w:numPr>
          <w:ilvl w:val="0"/>
          <w:numId w:val="1000"/>
        </w:numPr>
        <w:pStyle w:val="Compact"/>
      </w:pPr>
      <w:r>
        <w:t xml:space="preserve">'s business etiquette were respected while maintaining technical clarity.</w:t>
      </w:r>
    </w:p>
    <w:p>
      <w:pPr>
        <w:numPr>
          <w:ilvl w:val="0"/>
          <w:numId w:val="1001"/>
        </w:numPr>
        <w:pStyle w:val="Compact"/>
      </w:pPr>
      <w:r>
        <w:rPr>
          <w:bCs/>
          <w:b/>
        </w:rPr>
        <w:t xml:space="preserve">Risk Mitigation:</w:t>
      </w:r>
      <w:r>
        <w:t xml:space="preserve"> </w:t>
      </w:r>
      <w:r>
        <w:t xml:space="preserve">Identifying potential failure modes related to the unique weather patterns of</w:t>
      </w:r>
    </w:p>
    <w:p>
      <w:pPr>
        <w:numPr>
          <w:ilvl w:val="0"/>
          <w:numId w:val="1000"/>
        </w:numPr>
        <w:pStyle w:val="Compact"/>
      </w:pPr>
      <w:r>
        <w:t xml:space="preserve">, such as typhoon seasons, and integrating these into the system safety requirements.</w:t>
      </w:r>
    </w:p>
    <w:p>
      <w:pPr>
        <w:numPr>
          <w:ilvl w:val="0"/>
          <w:numId w:val="1001"/>
        </w:numPr>
        <w:pStyle w:val="Compact"/>
      </w:pPr>
      <w:r>
        <w:rPr>
          <w:bCs/>
          <w:b/>
        </w:rPr>
        <w:t xml:space="preserve">Lifecycle Management:</w:t>
      </w:r>
      <w:r>
        <w:t xml:space="preserve"> </w:t>
      </w:r>
      <w:r>
        <w:t xml:space="preserve">Overseeing the transition from concept design through prototyping, testing, and final deployment within the strict timelines dictated by local business cycles in</w:t>
      </w:r>
    </w:p>
    <w:p>
      <w:pPr>
        <w:numPr>
          <w:ilvl w:val="0"/>
          <w:numId w:val="1000"/>
        </w:numPr>
        <w:pStyle w:val="Compact"/>
      </w:pPr>
      <w:r>
        <w:t xml:space="preserve">.</w:t>
      </w:r>
    </w:p>
    <w:bookmarkEnd w:id="22"/>
    <w:bookmarkStart w:id="26" w:name="X1143f810f8c4df95efe102e2ce0f5b42993f370"/>
    <w:p>
      <w:pPr>
        <w:pStyle w:val="Heading2"/>
      </w:pPr>
      <w:r>
        <w:t xml:space="preserve">3. Technical Challenges and Systems Engineering Solutions</w:t>
      </w:r>
    </w:p>
    <w:bookmarkStart w:id="23" w:name="X68f186e380a9497b6721a678e5c823e20e622f8"/>
    <w:p>
      <w:pPr>
        <w:pStyle w:val="Heading3"/>
      </w:pPr>
      <w:r>
        <w:t xml:space="preserve">3.1 Integration of Legacy and New Technologies</w:t>
      </w:r>
    </w:p>
    <w:p>
      <w:pPr>
        <w:pStyle w:val="FirstParagraph"/>
      </w:pPr>
      <w:r>
        <w:t xml:space="preserve">The facility in</w:t>
      </w:r>
    </w:p>
    <w:p>
      <w:pPr>
        <w:pStyle w:val="BodyText"/>
      </w:pPr>
      <w:r>
        <w:t xml:space="preserve">employed a modular architecture approach, designing an intermediate middleware layer that allowed legacy hardware to communicate with new autonomous guided vehicles (AGVs). This solution preserved existing investments while enabling future scalability, a key tenet of systems engineering.</w:t>
      </w:r>
    </w:p>
    <w:bookmarkEnd w:id="23"/>
    <w:bookmarkStart w:id="24" w:name="X8bedb8f3694b8cb732b28ec3fea7250cd6b43ef"/>
    <w:p>
      <w:pPr>
        <w:pStyle w:val="Heading3"/>
      </w:pPr>
      <w:r>
        <w:t xml:space="preserve">2.2 Regulatory Compliance and Data Sovereignty</w:t>
      </w:r>
    </w:p>
    <w:p>
      <w:pPr>
        <w:pStyle w:val="FirstParagraph"/>
      </w:pPr>
      <w:r>
        <w:t xml:space="preserve">. This required rigorous interface control documentation and security testing.</w:t>
      </w:r>
    </w:p>
    <w:bookmarkEnd w:id="24"/>
    <w:bookmarkStart w:id="25" w:name="environmental-adaptability"/>
    <w:p>
      <w:pPr>
        <w:pStyle w:val="Heading3"/>
      </w:pPr>
      <w:r>
        <w:t xml:space="preserve">3.3 Environmental Adaptability</w:t>
      </w:r>
    </w:p>
    <w:p>
      <w:pPr>
        <w:pStyle w:val="FirstParagraph"/>
      </w:pPr>
      <w:r>
        <w:t xml:space="preserve">The humid climate of</w:t>
      </w:r>
      <w:r>
        <w:t xml:space="preserve"> </w:t>
      </w:r>
    </w:p>
    <w:bookmarkEnd w:id="25"/>
    <w:bookmarkEnd w:id="26"/>
    <w:bookmarkStart w:id="27" w:name="implementation-in-china-shanghai"/>
    <w:p>
      <w:pPr>
        <w:pStyle w:val="Heading2"/>
      </w:pPr>
      <w:r>
        <w:t xml:space="preserve">4. Implementation in China Shanghai</w:t>
      </w:r>
    </w:p>
    <w:p>
      <w:pPr>
        <w:pStyle w:val="FirstParagraph"/>
      </w:pPr>
      <w:r>
        <w:t xml:space="preserve">The execution phase of the project highlighted the importance of agile systems engineering in</w:t>
      </w:r>
    </w:p>
    <w:p>
      <w:pPr>
        <w:pStyle w:val="BodyText"/>
      </w:pPr>
      <w:r>
        <w:t xml:space="preserve">. The local market moves at a pace often referred to as "China Speed." The</w:t>
      </w:r>
    </w:p>
    <w:p>
      <w:pPr>
        <w:pStyle w:val="BodyText"/>
      </w:pPr>
      <w:r>
        <w:t xml:space="preserve">to validate design assumptions in real-time.</w:t>
      </w:r>
    </w:p>
    <w:p>
      <w:pPr>
        <w:pStyle w:val="BodyText"/>
      </w:pPr>
      <w:r>
        <w:t xml:space="preserve">Training was another critical component. The</w:t>
      </w:r>
    </w:p>
    <w:p>
      <w:pPr>
        <w:pStyle w:val="BodyText"/>
      </w:pPr>
      <w:r>
        <w:t xml:space="preserve">.</w:t>
      </w:r>
    </w:p>
    <w:bookmarkEnd w:id="27"/>
    <w:bookmarkStart w:id="28" w:name="outcomes-and-impact"/>
    <w:p>
      <w:pPr>
        <w:pStyle w:val="Heading2"/>
      </w:pPr>
      <w:r>
        <w:t xml:space="preserve">5. Outcomes and Impact</w:t>
      </w:r>
    </w:p>
    <w:p>
      <w:pPr>
        <w:pStyle w:val="FirstParagraph"/>
      </w:pPr>
      <w:r>
        <w:t xml:space="preserve">The project concluded with significant success metrics:</w:t>
      </w:r>
    </w:p>
    <w:p>
      <w:pPr>
        <w:numPr>
          <w:ilvl w:val="0"/>
          <w:numId w:val="1002"/>
        </w:numPr>
        <w:pStyle w:val="Compact"/>
      </w:pPr>
      <w:r>
        <w:rPr>
          <w:bCs/>
          <w:b/>
        </w:rPr>
        <w:t xml:space="preserve">Efficiency Gain:</w:t>
      </w:r>
      <w:r>
        <w:t xml:space="preserve">A 40% increase in logistics throughput.</w:t>
      </w:r>
    </w:p>
    <w:p>
      <w:pPr>
        <w:numPr>
          <w:ilvl w:val="0"/>
          <w:numId w:val="1002"/>
        </w:numPr>
        <w:pStyle w:val="Compact"/>
      </w:pPr>
      <w:r>
        <w:rPr>
          <w:bCs/>
          <w:b/>
        </w:rPr>
        <w:t xml:space="preserve">Cost Reduction:</w:t>
      </w:r>
      <w:r>
        <w:t xml:space="preserve">A 25% decrease in operational costs due to optimized energy usage and reduced manual labor errors.</w:t>
      </w:r>
    </w:p>
    <w:p>
      <w:pPr>
        <w:numPr>
          <w:ilvl w:val="0"/>
          <w:numId w:val="1002"/>
        </w:numPr>
        <w:pStyle w:val="Compact"/>
      </w:pPr>
      <w:r>
        <w:rPr>
          <w:bCs/>
          <w:b/>
        </w:rPr>
        <w:t xml:space="preserve">Sustainability:</w:t>
      </w:r>
      <w:r>
        <w:t xml:space="preserve">The system achieved a 30% reduction in carbon footprint, aligning with the green initiatives promoted by the government of</w:t>
      </w:r>
    </w:p>
    <w:p>
      <w:pPr>
        <w:numPr>
          <w:ilvl w:val="0"/>
          <w:numId w:val="1000"/>
        </w:numPr>
        <w:pStyle w:val="Compact"/>
      </w:pPr>
      <w:r>
        <w:t xml:space="preserve">.</w:t>
      </w:r>
    </w:p>
    <w:p>
      <w:pPr>
        <w:pStyle w:val="FirstParagraph"/>
      </w:pPr>
      <w:r>
        <w:t xml:space="preserve">The role of the</w:t>
      </w:r>
    </w:p>
    <w:p>
      <w:pPr>
        <w:pStyle w:val="BodyText"/>
      </w:pPr>
      <w:r>
        <w:t xml:space="preserve">, the engineer ensured that all components worked synergistically rather than in isolation.</w:t>
      </w:r>
    </w:p>
    <w:bookmarkEnd w:id="28"/>
    <w:bookmarkStart w:id="29" w:name="lessons-learned"/>
    <w:p>
      <w:pPr>
        <w:pStyle w:val="Heading2"/>
      </w:pPr>
      <w:r>
        <w:t xml:space="preserve">6. Lessons Learned</w:t>
      </w:r>
    </w:p>
    <w:p>
      <w:pPr>
        <w:pStyle w:val="FirstParagraph"/>
      </w:pPr>
      <w:r>
        <w:t xml:space="preserve">This case study from</w:t>
      </w:r>
      <w:r>
        <w:t xml:space="preserve"> </w:t>
      </w:r>
    </w:p>
    <w:p>
      <w:pPr>
        <w:numPr>
          <w:ilvl w:val="0"/>
          <w:numId w:val="1003"/>
        </w:numPr>
        <w:pStyle w:val="Compact"/>
      </w:pPr>
      <w:r>
        <w:rPr>
          <w:bCs/>
          <w:b/>
        </w:rPr>
        <w:t xml:space="preserve">Cultural Intelligence is a Technical Skill:</w:t>
      </w:r>
      <w:r>
        <w:t xml:space="preserve">In regions like</w:t>
      </w:r>
    </w:p>
    <w:p>
      <w:pPr>
        <w:numPr>
          <w:ilvl w:val="0"/>
          <w:numId w:val="1000"/>
        </w:numPr>
        <w:pStyle w:val="Compact"/>
      </w:pPr>
      <w:r>
        <w:t xml:space="preserve">, understanding local business practices is as important as understanding technical interfaces.</w:t>
      </w:r>
    </w:p>
    <w:p>
      <w:pPr>
        <w:numPr>
          <w:ilvl w:val="0"/>
          <w:numId w:val="1003"/>
        </w:numPr>
        <w:pStyle w:val="Compact"/>
      </w:pPr>
      <w:r>
        <w:rPr>
          <w:bCs/>
          <w:b/>
        </w:rPr>
        <w:t xml:space="preserve">Flexibility in Methodology:</w:t>
      </w:r>
      <w:r>
        <w:t xml:space="preserve">Rigid systems engineering frameworks may fail in fast-moving markets. Adaptability is crucial for success in</w:t>
      </w:r>
    </w:p>
    <w:p>
      <w:pPr>
        <w:numPr>
          <w:ilvl w:val="0"/>
          <w:numId w:val="1000"/>
        </w:numPr>
        <w:pStyle w:val="Compact"/>
      </w:pPr>
      <w:r>
        <w:t xml:space="preserve">.</w:t>
      </w:r>
    </w:p>
    <w:p>
      <w:pPr>
        <w:numPr>
          <w:ilvl w:val="0"/>
          <w:numId w:val="1003"/>
        </w:numPr>
        <w:pStyle w:val="Compact"/>
      </w:pPr>
      <w:r>
        <w:rPr>
          <w:bCs/>
          <w:b/>
        </w:rPr>
        <w:t xml:space="preserve">Early Stakeholder Engagement:</w:t>
      </w:r>
      <w:r>
        <w:t xml:space="preserve">Involving local regulators and operators early in the Systems Engineering lifecycle prevents costly rework later.</w:t>
      </w:r>
    </w:p>
    <w:bookmarkEnd w:id="29"/>
    <w:bookmarkStart w:id="30" w:name="conclusion"/>
    <w:p>
      <w:pPr>
        <w:pStyle w:val="Heading2"/>
      </w:pPr>
      <w:r>
        <w:t xml:space="preserve">Conclusion</w:t>
      </w:r>
    </w:p>
    <w:p>
      <w:pPr>
        <w:pStyle w:val="FirstParagraph"/>
      </w:pPr>
      <w:r>
        <w:t xml:space="preserve">The successful implementation of autonomous logistics in</w:t>
      </w:r>
    </w:p>
    <w:p>
      <w:pPr>
        <w:pStyle w:val="BodyText"/>
      </w:pPr>
      <w:r>
        <w:t xml:space="preserve">, complex challenges can be transformed into sustainable competitive advantages. This case study serves as a blueprint for future engineering endeavors in similar high-density, high-technology environments across Asia and beyond.</w:t>
      </w:r>
    </w:p>
    <w:p>
      <w:pPr>
        <w:pStyle w:val="BodyText"/>
      </w:pPr>
      <w:r>
        <w:t xml:space="preserve">As the city of</w:t>
      </w:r>
    </w:p>
    <w:p>
      <w:pPr>
        <w:pStyle w:val="BodyText"/>
      </w:pPr>
      <w:r>
        <w:t xml:space="preserve">, investing in comprehensive Systems Engineering capabilities is not just an option—it is a necessity for long-term success.</w:t>
      </w:r>
    </w:p>
    <w:p>
      <w:pPr>
        <w:pStyle w:val="BodyText"/>
      </w:pPr>
      <w:r>
        <w:rPr>
          <w:iCs/>
          <w:i/>
        </w:rPr>
        <w:t xml:space="preserve">Note: This case study highlights the critical intersection of technical engineering and regional specificity. The term "China Shanghai" defines the regulatory and cultural boundary conditions, while "Systems Engineer" defines the methodological approach used to navigate these boundaries successfully.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Excellence in China Shanghai</dc:title>
  <dc:creator/>
  <dc:language>en</dc:language>
  <cp:keywords/>
  <dcterms:created xsi:type="dcterms:W3CDTF">2026-07-29T03:19:20Z</dcterms:created>
  <dcterms:modified xsi:type="dcterms:W3CDTF">2026-07-29T03:19:20Z</dcterms:modified>
</cp:coreProperties>
</file>

<file path=docProps/custom.xml><?xml version="1.0" encoding="utf-8"?>
<Properties xmlns="http://schemas.openxmlformats.org/officeDocument/2006/custom-properties" xmlns:vt="http://schemas.openxmlformats.org/officeDocument/2006/docPropsVTypes"/>
</file>