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35" w:name="X4c83bf00faf81a6266b7e886be0454b03a039da"/>
    <w:p>
      <w:pPr>
        <w:pStyle w:val="Heading1"/>
      </w:pPr>
      <w:r>
        <w:t xml:space="preserve">Case Study: Optimizing Critical Infrastructure via Systems Engineering in Germany Frankfurt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 </w:t>
      </w:r>
      <w:r>
        <w:t xml:space="preserve">Financial Technology &amp; Cloud Infrastructure</w:t>
      </w:r>
    </w:p>
    <w:bookmarkStart w:id="20" w:name="executive-summary"/>
    <w:p>
      <w:pPr>
        <w:pStyle w:val="Heading2"/>
      </w:pPr>
      <w:r>
        <w:t xml:space="preserve">Executive Summary</w:t>
      </w:r>
    </w:p>
    <w:p>
      <w:pPr>
        <w:pStyle w:val="FirstParagraph"/>
      </w:pPr>
      <w:r>
        <w:t xml:space="preserve">This case study examines the transformative impact of advanced Systems Engineering methodologies implemented by a leading technology consultancy for a major financial institution. The primary objective was to modernize legacy infrastructure within their data center operations located in Germany Frankfurt. As one of Europe’s most critical hubs for digital finance, Germany Frankfurt represents a unique convergence of high regulatory compliance, extreme technical density, and relentless demand for low-latency services.</w:t>
      </w:r>
    </w:p>
    <w:p>
      <w:pPr>
        <w:pStyle w:val="BodyText"/>
      </w:pPr>
      <w:r>
        <w:t xml:space="preserve">The engagement focused on applying rigorous Systems Engineering principles to decompose complex interdependencies between physical hardware, virtualized network layers, and software-defined storage. By adopting a holistic view rather than siloed component management, the project successfully reduced system downtime by</w:t>
      </w:r>
      <w:r>
        <w:t xml:space="preserve"> </w:t>
      </w:r>
      <w:r>
        <w:t xml:space="preserve">40%</w:t>
      </w:r>
      <w:r>
        <w:t xml:space="preserve"> </w:t>
      </w:r>
      <w:r>
        <w:t xml:space="preserve">and improved deployment efficiency by</w:t>
      </w:r>
      <w:r>
        <w:t xml:space="preserve"> </w:t>
      </w:r>
      <w:r>
        <w:t xml:space="preserve">65%</w:t>
      </w:r>
      <w:r>
        <w:t xml:space="preserve"> </w:t>
      </w:r>
      <w:r>
        <w:t xml:space="preserve">within six months.</w:t>
      </w:r>
    </w:p>
    <w:bookmarkEnd w:id="20"/>
    <w:bookmarkStart w:id="25" w:name="Xc27a4de55fa9c316c8fa16446021be3a18db630"/>
    <w:p>
      <w:pPr>
        <w:pStyle w:val="Heading2"/>
      </w:pPr>
      <w:r>
        <w:t xml:space="preserve">The Challenge: Complexity in Germany Frankfurt</w:t>
      </w:r>
    </w:p>
    <w:p>
      <w:pPr>
        <w:pStyle w:val="FirstParagraph"/>
      </w:pPr>
      <w:r>
        <w:t xml:space="preserve">The client, a multinational investment bank, operates one of its primary European processing hubs in Germany Frankfurt. This location is not merely a geographic point; it is the central node for Euro-clearing and high-frequency trading algorithms. The environment presents specific challenges that define the scope of this case study:</w:t>
      </w:r>
    </w:p>
    <w:bookmarkStart w:id="21" w:name="regulatory-and-compliance-pressure"/>
    <w:p>
      <w:pPr>
        <w:pStyle w:val="Heading3"/>
      </w:pPr>
      <w:r>
        <w:t xml:space="preserve">1. Regulatory and Compliance Pressure</w:t>
      </w:r>
    </w:p>
    <w:p>
      <w:pPr>
        <w:pStyle w:val="FirstParagraph"/>
      </w:pPr>
      <w:r>
        <w:t xml:space="preserve">In Germany, data sovereignty laws (Bundesdatenschutzgesetz) combined with EU-wide GDPR regulations require strict adherence to data residency rules. Any system change must be auditable and compliant without sacrificing performance.</w:t>
      </w:r>
    </w:p>
    <w:bookmarkEnd w:id="21"/>
    <w:bookmarkStart w:id="22" w:name="legacy-integration-in-a-modern-hub"/>
    <w:p>
      <w:pPr>
        <w:pStyle w:val="Heading3"/>
      </w:pPr>
      <w:r>
        <w:t xml:space="preserve">2. Legacy Integration in a Modern Hub</w:t>
      </w:r>
    </w:p>
    <w:p>
      <w:pPr>
        <w:pStyle w:val="FirstParagraph"/>
      </w:pPr>
      <w:r>
        <w:t xml:space="preserve">The infrastructure consisted of a hybrid environment where decades-old mainframe connections had to interface seamlessly with modern Kubernetes clusters hosted in Frankfurt’s high-density data centers. The lack of clear architectural mapping led to frequent configuration drifts and security vulnerabilities.</w:t>
      </w:r>
    </w:p>
    <w:bookmarkEnd w:id="22"/>
    <w:bookmarkStart w:id="23" w:name="spatial-and-power-constraints"/>
    <w:p>
      <w:pPr>
        <w:pStyle w:val="Heading3"/>
      </w:pPr>
      <w:r>
        <w:t xml:space="preserve">3. Spatial and Power Constraints</w:t>
      </w:r>
    </w:p>
    <w:p>
      <w:pPr>
        <w:pStyle w:val="FirstParagraph"/>
      </w:pPr>
      <w:r>
        <w:t xml:space="preserve">Data centers in Germany Frankfurt are often located in repurposed industrial zones or dense urban environments where rack space and power density are premium resources. The Systems Engineer had to optimize physical layout alongside logical architecture to maximize throughput per kilowatt.</w:t>
      </w:r>
    </w:p>
    <w:bookmarkEnd w:id="23"/>
    <w:bookmarkStart w:id="24" w:name="key-problem-statement"/>
    <w:p>
      <w:pPr>
        <w:pStyle w:val="Heading3"/>
      </w:pPr>
      <w:r>
        <w:t xml:space="preserve">Key Problem Statement</w:t>
      </w:r>
    </w:p>
    <w:p>
      <w:pPr>
        <w:pStyle w:val="FirstParagraph"/>
      </w:pPr>
      <w:r>
        <w:t xml:space="preserve">"How can we re-architect a fragmented IT landscape in Germany Frankfurt using Systems Engineering frameworks to ensure zero-downtime migration while meeting strict German regulatory standards?"</w:t>
      </w:r>
    </w:p>
    <w:bookmarkEnd w:id="24"/>
    <w:bookmarkEnd w:id="25"/>
    <w:bookmarkStart w:id="29" w:name="X1ba7e5b7e8b9d286c0e8aac1ab347f94fe00ede"/>
    <w:p>
      <w:pPr>
        <w:pStyle w:val="Heading2"/>
      </w:pPr>
      <w:r>
        <w:t xml:space="preserve">The Solution: A Systems Engineering Approach</w:t>
      </w:r>
    </w:p>
    <w:p>
      <w:pPr>
        <w:pStyle w:val="FirstParagraph"/>
      </w:pPr>
      <w:r>
        <w:t xml:space="preserve">To address these multifaceted challenges, the project team adopted a Model-Based Systems Engineering (MBSE) approach. This methodology shifts the focus from documentation-centric processes to model-centric design, allowing for simulation and verification before physical implementation.</w:t>
      </w:r>
    </w:p>
    <w:bookmarkStart w:id="26" w:name="X2a30804df389d81cc5c2d823f00116b65c8c00c"/>
    <w:p>
      <w:pPr>
        <w:pStyle w:val="Heading3"/>
      </w:pPr>
      <w:r>
        <w:t xml:space="preserve">Phase 1: Requirements Analysis and Traceability</w:t>
      </w:r>
    </w:p>
    <w:p>
      <w:pPr>
        <w:pStyle w:val="FirstParagraph"/>
      </w:pPr>
      <w:r>
        <w:t xml:space="preserve">The initial phase involved capturing both functional and non-functional requirements specific to the Germany Frankfurt context. This included:</w:t>
      </w:r>
    </w:p>
    <w:p>
      <w:pPr>
        <w:numPr>
          <w:ilvl w:val="0"/>
          <w:numId w:val="1001"/>
        </w:numPr>
        <w:pStyle w:val="Compact"/>
      </w:pPr>
      <w:r>
        <w:rPr>
          <w:bCs/>
          <w:b/>
        </w:rPr>
        <w:t xml:space="preserve">Latency Thresholds:</w:t>
      </w:r>
      <w:r>
        <w:t xml:space="preserve"> </w:t>
      </w:r>
      <w:r>
        <w:t xml:space="preserve">Ensuring end-to-end latency remained under 2 milliseconds for trading applications.</w:t>
      </w:r>
    </w:p>
    <w:p>
      <w:pPr>
        <w:numPr>
          <w:ilvl w:val="0"/>
          <w:numId w:val="1001"/>
        </w:numPr>
        <w:pStyle w:val="Compact"/>
      </w:pPr>
      <w:r>
        <w:rPr>
          <w:bCs/>
          <w:b/>
        </w:rPr>
        <w:t xml:space="preserve">Data Locality:</w:t>
      </w:r>
      <w:r>
        <w:t xml:space="preserve"> </w:t>
      </w:r>
      <w:r>
        <w:t xml:space="preserve">Verifying that all user data remained physically stored on servers within German borders to comply with local laws.</w:t>
      </w:r>
    </w:p>
    <w:p>
      <w:pPr>
        <w:numPr>
          <w:ilvl w:val="0"/>
          <w:numId w:val="1001"/>
        </w:numPr>
        <w:pStyle w:val="Compact"/>
      </w:pPr>
      <w:r>
        <w:rPr>
          <w:bCs/>
          <w:b/>
        </w:rPr>
        <w:t xml:space="preserve">Fault Tolerance:</w:t>
      </w:r>
      <w:r>
        <w:t xml:space="preserve"> </w:t>
      </w:r>
      <w:r>
        <w:t xml:space="preserve">Achieving a "five-nines" (99.999%) availability SLA.</w:t>
      </w:r>
    </w:p>
    <w:p>
      <w:pPr>
        <w:pStyle w:val="FirstParagraph"/>
      </w:pPr>
      <w:r>
        <w:t xml:space="preserve">A digital twin of the entire system was created. This virtual representation allowed engineers to simulate traffic spikes originating from Frankfurt’s trading floor and observe how the backend systems would react without risking production stability.</w:t>
      </w:r>
    </w:p>
    <w:bookmarkEnd w:id="26"/>
    <w:bookmarkStart w:id="27" w:name="phase-2-architectural-decomposition"/>
    <w:p>
      <w:pPr>
        <w:pStyle w:val="Heading3"/>
      </w:pPr>
      <w:r>
        <w:t xml:space="preserve">Phase 2: Architectural Decomposition</w:t>
      </w:r>
    </w:p>
    <w:p>
      <w:pPr>
        <w:pStyle w:val="FirstParagraph"/>
      </w:pPr>
      <w:r>
        <w:t xml:space="preserve">The Systems Engineer team decomposed the monolithic legacy application into microservices. Using a layered architecture pattern, they isolated the data plane from the control plane. This separation was crucial for managing security permissions in accordance with German industrial security standards (BSI IT-Grundschutz).</w:t>
      </w:r>
    </w:p>
    <w:bookmarkEnd w:id="27"/>
    <w:bookmarkStart w:id="28" w:name="phase-3-integration-and-verification"/>
    <w:p>
      <w:pPr>
        <w:pStyle w:val="Heading3"/>
      </w:pPr>
      <w:r>
        <w:t xml:space="preserve">Phase 3: Integration and Verification</w:t>
      </w:r>
    </w:p>
    <w:p>
      <w:pPr>
        <w:pStyle w:val="FirstParagraph"/>
      </w:pPr>
      <w:r>
        <w:t xml:space="preserve">The integration phase utilized continuous integration/continuous deployment (CI/CD) pipelines specifically tuned for the Germany Frankfurt region. Automated testing scripts verified that every commit adhered to the defined system models. If a change violated a constraint (e.g., introducing unauthorized external data calls), the pipeline automatically rejected it.</w:t>
      </w:r>
    </w:p>
    <w:bookmarkEnd w:id="28"/>
    <w:bookmarkEnd w:id="29"/>
    <w:bookmarkStart w:id="30" w:name="Xf2a7f53800fdb28aed73ffa2415bb0cf525c2de"/>
    <w:p>
      <w:pPr>
        <w:pStyle w:val="Heading2"/>
      </w:pPr>
      <w:r>
        <w:t xml:space="preserve">Implementation Details and Technical Strategy</w:t>
      </w:r>
    </w:p>
    <w:p>
      <w:pPr>
        <w:pStyle w:val="FirstParagraph"/>
      </w:pPr>
      <w:r>
        <w:t xml:space="preserve">The technical execution relied on three core pillars of Systems Engineering:</w:t>
      </w:r>
    </w:p>
    <w:p>
      <w:pPr>
        <w:numPr>
          <w:ilvl w:val="0"/>
          <w:numId w:val="1002"/>
        </w:numPr>
        <w:pStyle w:val="Compact"/>
      </w:pPr>
      <w:r>
        <w:rPr>
          <w:bCs/>
          <w:b/>
        </w:rPr>
        <w:t xml:space="preserve">Holistic Lifecycle Management:</w:t>
      </w:r>
    </w:p>
    <w:p>
      <w:pPr>
        <w:numPr>
          <w:ilvl w:val="0"/>
          <w:numId w:val="1002"/>
        </w:numPr>
        <w:pStyle w:val="Compact"/>
      </w:pPr>
      <w:r>
        <w:rPr>
          <w:bCs/>
          <w:b/>
        </w:rPr>
        <w:t xml:space="preserve">Cross-Disciplinary Coordination:</w:t>
      </w:r>
    </w:p>
    <w:p>
      <w:pPr>
        <w:numPr>
          <w:ilvl w:val="0"/>
          <w:numId w:val="1002"/>
        </w:numPr>
        <w:pStyle w:val="Compact"/>
      </w:pPr>
      <w:r>
        <w:rPr>
          <w:bCs/>
          <w:b/>
        </w:rPr>
        <w:t xml:space="preserve">Risk Management through Simulation:</w:t>
      </w:r>
    </w:p>
    <w:bookmarkEnd w:id="30"/>
    <w:bookmarkStart w:id="32" w:name="results-and-impact"/>
    <w:p>
      <w:pPr>
        <w:pStyle w:val="Heading2"/>
      </w:pPr>
      <w:r>
        <w:t xml:space="preserve">Results and Impact</w:t>
      </w:r>
    </w:p>
    <w:p>
      <w:pPr>
        <w:pStyle w:val="FirstParagraph"/>
      </w:pPr>
      <w:r>
        <w:t xml:space="preserve">The implementation of the Systems Engineering framework yielded significant quantitative and qualitative benefits for the client’s operations in Germany Frankfurt.</w:t>
      </w:r>
    </w:p>
    <w:p>
      <w:pPr>
        <w:pStyle w:val="BodyText"/>
      </w:pPr>
      <w:r>
        <w:t xml:space="preserve">Metric</w:t>
      </w:r>
    </w:p>
    <w:p>
      <w:pPr>
        <w:pStyle w:val="BodyText"/>
      </w:pPr>
      <w:r>
        <w:t xml:space="preserve">Before Implementation</w:t>
      </w:r>
    </w:p>
    <w:p>
      <w:pPr>
        <w:pStyle w:val="BodyText"/>
      </w:pPr>
      <w:r>
        <w:t xml:space="preserve">After Implementation</w:t>
      </w:r>
    </w:p>
    <w:p>
      <w:pPr>
        <w:pStyle w:val="BodyText"/>
      </w:pPr>
      <w:r>
        <w:t xml:space="preserve">Average System Downtime (Annual)</w:t>
      </w:r>
    </w:p>
    <w:p>
      <w:pPr>
        <w:pStyle w:val="BodyText"/>
      </w:pPr>
      <w:r>
        <w:t xml:space="preserve">145 hours</w:t>
      </w:r>
    </w:p>
    <w:p>
      <w:pPr>
        <w:pStyle w:val="BodyText"/>
      </w:pPr>
      <w:r>
        <w:t xml:space="preserve">87 hours</w:t>
      </w:r>
    </w:p>
    <w:p>
      <w:pPr>
        <w:pStyle w:val="BodyText"/>
      </w:pPr>
      <w:r>
        <w:t xml:space="preserve">Fault Detection Time</w:t>
      </w:r>
    </w:p>
    <w:p>
      <w:pPr>
        <w:pStyle w:val="BodyText"/>
      </w:pPr>
      <w:r>
        <w:t xml:space="preserve">&lt;20 minutes</w:t>
      </w:r>
    </w:p>
    <w:bookmarkStart w:id="31" w:name="better-than-expected-outcomes"/>
    <w:p>
      <w:pPr>
        <w:pStyle w:val="Heading3"/>
      </w:pPr>
      <w:r>
        <w:t xml:space="preserve">Better than expected outcomes:</w:t>
      </w:r>
    </w:p>
    <w:p>
      <w:pPr>
        <w:numPr>
          <w:ilvl w:val="0"/>
          <w:numId w:val="1003"/>
        </w:numPr>
        <w:pStyle w:val="Compact"/>
      </w:pPr>
      <w:r>
        <w:rPr>
          <w:bCs/>
          <w:b/>
        </w:rPr>
        <w:t xml:space="preserve">Simplified Compliance Audits:</w:t>
      </w:r>
      <w:r>
        <w:t xml:space="preserve">The traceability provided by the MBSE models made passing BSI (Bundesamt für Sicherheit in der Informationstechnik) audits significantly faster. Documentation was automatically generated from the system models.</w:t>
      </w:r>
    </w:p>
    <w:p>
      <w:pPr>
        <w:numPr>
          <w:ilvl w:val="0"/>
          <w:numId w:val="1003"/>
        </w:numPr>
        <w:pStyle w:val="Compact"/>
      </w:pPr>
      <w:r>
        <w:t xml:space="preserve">Enhanced Scalability:</w:t>
      </w:r>
      <w:r>
        <w:t xml:space="preserve">The new architecture allowed the client to spin up new trading environments in Germany Frankfurt in hours rather than weeks, directly supporting business expansion into new financial products.</w:t>
      </w:r>
    </w:p>
    <w:p>
      <w:pPr>
        <w:numPr>
          <w:ilvl w:val="0"/>
          <w:numId w:val="1003"/>
        </w:numPr>
        <w:pStyle w:val="Compact"/>
      </w:pPr>
      <w:r>
        <w:rPr>
          <w:bCs/>
          <w:b/>
        </w:rPr>
        <w:t xml:space="preserve">Better Resource Utilization:</w:t>
      </w:r>
      <w:r>
        <w:t xml:space="preserve">By optimizing the physical and logical layout, data center space utilization improved by 25%, deferring the need for costly facility expansions.</w:t>
      </w:r>
    </w:p>
    <w:bookmarkEnd w:id="31"/>
    <w:bookmarkEnd w:id="32"/>
    <w:bookmarkStart w:id="33" w:name="lessons-learned-for-systems-engineers"/>
    <w:p>
      <w:pPr>
        <w:pStyle w:val="Heading2"/>
      </w:pPr>
      <w:r>
        <w:t xml:space="preserve">Lessons Learned for Systems Engineers</w:t>
      </w:r>
    </w:p>
    <w:p>
      <w:pPr>
        <w:pStyle w:val="FirstParagraph"/>
      </w:pPr>
      <w:r>
        <w:t xml:space="preserve">This case study highlights several critical takeaways for professionals working in high-stakes environments like Germany Frankfurt:</w:t>
      </w:r>
    </w:p>
    <w:p>
      <w:pPr>
        <w:numPr>
          <w:ilvl w:val="0"/>
          <w:numId w:val="1004"/>
        </w:numPr>
        <w:pStyle w:val="Compact"/>
      </w:pPr>
      <w:r>
        <w:rPr>
          <w:bCs/>
          <w:b/>
        </w:rPr>
        <w:t xml:space="preserve">Culture is as important as Code:</w:t>
      </w:r>
    </w:p>
    <w:p>
      <w:pPr>
        <w:numPr>
          <w:ilvl w:val="0"/>
          <w:numId w:val="1004"/>
        </w:numPr>
        <w:pStyle w:val="Compact"/>
      </w:pPr>
      <w:r>
        <w:rPr>
          <w:bCs/>
          <w:b/>
        </w:rPr>
        <w:t xml:space="preserve">Local Context Matters:</w:t>
      </w:r>
    </w:p>
    <w:p>
      <w:pPr>
        <w:numPr>
          <w:ilvl w:val="0"/>
          <w:numId w:val="1004"/>
        </w:numPr>
        <w:pStyle w:val="Compact"/>
      </w:pPr>
      <w:r>
        <w:rPr>
          <w:bCs/>
          <w:b/>
        </w:rPr>
        <w:t xml:space="preserve">Digital Twins are Non-Negotiable for Complex Systems:</w:t>
      </w:r>
      <w:r>
        <w:t xml:space="preserve">Attempting to manage such a complex system in Germany Frankfurt without a digital twin would have resulted in unacceptable risk levels. The ability to "fail safely" in simulation is the primary value proposition of modern Systems Engineering.</w:t>
      </w:r>
    </w:p>
    <w:bookmarkEnd w:id="33"/>
    <w:bookmarkStart w:id="34" w:name="conclusion"/>
    <w:p>
      <w:pPr>
        <w:pStyle w:val="Heading2"/>
      </w:pPr>
      <w:r>
        <w:t xml:space="preserve">Conclusion</w:t>
      </w:r>
    </w:p>
    <w:p>
      <w:pPr>
        <w:pStyle w:val="FirstParagraph"/>
      </w:pPr>
      <w:r>
        <w:t xml:space="preserve">The successful modernization of financial infrastructure in Germany Frankfurt demonstrates that Systems Engineering is not just an abstract methodology but a practical necessity for managing complexity. By treating the IT environment as a unified system rather than a collection of disparate parts, organizations can achieve higher reliability, better compliance, and greater agility.</w:t>
      </w:r>
    </w:p>
    <w:p>
      <w:pPr>
        <w:pStyle w:val="BodyText"/>
      </w:pPr>
      <w:r>
        <w:t xml:space="preserve">For other enterprises operating in dense technological hubs like Germany Frankfurt, this case study serves as a blueprint for adopting MBSE. The key lies in early requirement definition, rigorous simulation via digital twins, and continuous cross-functional collaboration. As financial technology continues to evolve rapidly within Europe’s capital of finance, the role of the Systems Engineer will become increasingly central to maintaining competitive advantage and operational resilience.</w:t>
      </w:r>
    </w:p>
    <w:p>
      <w:pPr>
        <w:pStyle w:val="BodyText"/>
      </w:pPr>
      <w:r>
        <w:rPr>
          <w:iCs/>
          <w:i/>
        </w:rPr>
        <w:t xml:space="preserve">This document is intended for internal review by engineering leadership and stakeholders involved in large-scale infrastructure projects. All data points have been anonymized for privacy purposes, though the methodologies reflect real-world implementations in the DACH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Germany Frankfurt</dc:title>
  <dc:creator/>
  <dc:language>en</dc:language>
  <cp:keywords/>
  <dcterms:created xsi:type="dcterms:W3CDTF">2026-07-29T05:38:02Z</dcterms:created>
  <dcterms:modified xsi:type="dcterms:W3CDTF">2026-07-29T05:38:02Z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