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w:t>
      </w:r>
      <w:r>
        <w:t xml:space="preserve"> </w:t>
      </w:r>
      <w:r>
        <w:t xml:space="preserve">in</w:t>
      </w:r>
      <w:r>
        <w:t xml:space="preserve"> </w:t>
      </w:r>
      <w:r>
        <w:t xml:space="preserve">Spain</w:t>
      </w:r>
      <w:r>
        <w:t xml:space="preserve"> </w:t>
      </w:r>
      <w:r>
        <w:t xml:space="preserve">Madrid</w:t>
      </w:r>
    </w:p>
    <w:bookmarkStart w:id="33" w:name="Xd509b368ce1b098e45c50f5b573614f3a6de328"/>
    <w:p>
      <w:pPr>
        <w:pStyle w:val="Heading1"/>
      </w:pPr>
      <w:r>
        <w:t xml:space="preserve">Strategic Infrastructure Transformation in the Heart of Europe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Success Story</w:t>
      </w:r>
      <w:r>
        <w:br/>
      </w:r>
      <w:r>
        <w:rPr>
          <w:bCs/>
          <w:b/>
        </w:rPr>
        <w:t xml:space="preserve">Focal Point:</w:t>
      </w:r>
    </w:p>
    <w:bookmarkStart w:id="20" w:name="executive-summary"/>
    <w:p>
      <w:pPr>
        <w:pStyle w:val="Heading3"/>
      </w:pPr>
      <w:r>
        <w:t xml:space="preserve">Executive Summary</w:t>
      </w:r>
    </w:p>
    <w:p>
      <w:pPr>
        <w:pStyle w:val="FirstParagraph"/>
      </w:pPr>
      <w:r>
        <w:t xml:space="preserve">This document details the successful implementation of a comprehensive IT infrastructure overhaul led by a Senior Systems Engineer. The project was situated in Madrid, Spain, addressing the unique challenges of high-density urban operations and strict regulatory compliance within the European Union. The case study highlights how specialized technical expertise and regional knowledge converged to deliver a resilient, secure, and scalable system architecture.</w:t>
      </w:r>
    </w:p>
    <w:bookmarkEnd w:id="20"/>
    <w:bookmarkStart w:id="21" w:name="introduction"/>
    <w:p>
      <w:pPr>
        <w:pStyle w:val="Heading2"/>
      </w:pPr>
      <w:r>
        <w:t xml:space="preserve">1. Introduction</w:t>
      </w:r>
    </w:p>
    <w:p>
      <w:pPr>
        <w:pStyle w:val="FirstParagraph"/>
      </w:pPr>
      <w:r>
        <w:t xml:space="preserve">In the rapidly evolving digital landscape of modern Europe, cities serve as the primary engines of innovation. Madrid, as the capital of Spain and a burgeoning tech hub within the European Union, presents a complex environment for information technology operations. With over 3 million residents in its metropolitan area and hosting numerous multinational corporations, government agencies, and financial institutions demand infrastructure that is not only robust but also compliant with rigorous data sovereignty laws.</w:t>
      </w:r>
    </w:p>
    <w:p>
      <w:pPr>
        <w:pStyle w:val="BodyText"/>
      </w:pPr>
      <w:r>
        <w:t xml:space="preserve">This case study examines a critical project undertaken by "Iberian Tech Solutions," a leading IT consultancy based in Madrid. The objective was to modernize the legacy systems of a major banking partner operating within Spain's financial district. The core challenge lay in migrating from on-premise legacy servers to a hybrid cloud environment without disrupting continuous operations, all while adhering to General Data Protection Regulation (GDPR) standards and local Spanish cybersecurity mandates.</w:t>
      </w:r>
    </w:p>
    <w:bookmarkEnd w:id="21"/>
    <w:bookmarkStart w:id="22" w:name="problem-statement"/>
    <w:p>
      <w:pPr>
        <w:pStyle w:val="Heading2"/>
      </w:pPr>
      <w:r>
        <w:t xml:space="preserve">2. Problem Statement</w:t>
      </w:r>
    </w:p>
    <w:p>
      <w:pPr>
        <w:pStyle w:val="FirstParagraph"/>
      </w:pPr>
      <w:r>
        <w:t xml:space="preserve">The client, a mid-sized financial institution with deep roots in Madrid, faced several critical issues:</w:t>
      </w:r>
    </w:p>
    <w:p>
      <w:pPr>
        <w:numPr>
          <w:ilvl w:val="0"/>
          <w:numId w:val="1001"/>
        </w:numPr>
        <w:pStyle w:val="Compact"/>
      </w:pPr>
      <w:r>
        <w:rPr>
          <w:bCs/>
          <w:b/>
        </w:rPr>
        <w:t xml:space="preserve">Aging Infrastructure:</w:t>
      </w:r>
      <w:r>
        <w:t xml:space="preserve"> </w:t>
      </w:r>
      <w:r>
        <w:t xml:space="preserve">The existing server farms were nearing end-of-life, leading to frequent downtime and escalating maintenance costs.</w:t>
      </w:r>
    </w:p>
    <w:p>
      <w:pPr>
        <w:numPr>
          <w:ilvl w:val="0"/>
          <w:numId w:val="1001"/>
        </w:numPr>
        <w:pStyle w:val="Compact"/>
      </w:pPr>
      <w:r>
        <w:rPr>
          <w:bCs/>
          <w:b/>
        </w:rPr>
        <w:t xml:space="preserve">Bottlenecks in Scalability:</w:t>
      </w:r>
      <w:r>
        <w:t xml:space="preserve"> </w:t>
      </w:r>
      <w:r>
        <w:t xml:space="preserve">During peak trading hours or tax seasons, the system struggled to handle increased load, resulting in latency issues for customers.</w:t>
      </w:r>
    </w:p>
    <w:p>
      <w:pPr>
        <w:numPr>
          <w:ilvl w:val="0"/>
          <w:numId w:val="1001"/>
        </w:numPr>
        <w:pStyle w:val="Compact"/>
      </w:pPr>
      <w:r>
        <w:rPr>
          <w:bCs/>
          <w:b/>
        </w:rPr>
        <w:t xml:space="preserve">Compliance Risks:Data residency requirements</w:t>
      </w:r>
      <w:r>
        <w:t xml:space="preserve">: As a financial entity operating in Spain, the client was required to ensure that sensitive customer data remained within EU borders. The previous architecture lacked clear mechanisms for enforcing this geographic restriction.</w:t>
      </w:r>
    </w:p>
    <w:p>
      <w:pPr>
        <w:numPr>
          <w:ilvl w:val="0"/>
          <w:numId w:val="1001"/>
        </w:numPr>
        <w:pStyle w:val="Compact"/>
      </w:pPr>
      <w:r>
        <w:rPr>
          <w:bCs/>
          <w:b/>
        </w:rPr>
        <w:t xml:space="preserve">Skill Gap:</w:t>
      </w:r>
      <w:r>
        <w:t xml:space="preserve"> </w:t>
      </w:r>
      <w:r>
        <w:t xml:space="preserve">The internal IT team, while competent in traditional networking, lacked expertise in modern cloud orchestration and automation tools necessary for the transition.</w:t>
      </w:r>
    </w:p>
    <w:bookmarkEnd w:id="22"/>
    <w:bookmarkStart w:id="25" w:name="the-role-of-the-systems-engineer"/>
    <w:p>
      <w:pPr>
        <w:pStyle w:val="Heading2"/>
      </w:pPr>
      <w:r>
        <w:t xml:space="preserve">3. The Role of the Systems Engineer</w:t>
      </w:r>
    </w:p>
    <w:p>
      <w:pPr>
        <w:pStyle w:val="FirstParagraph"/>
      </w:pPr>
      <w:r>
        <w:t xml:space="preserve">The success of this initiative hinged on the appointment of a seasoned Systems Engineer. This role was not merely about technical execution; it required a deep understanding of both global best practices and local contextual nuances specific to Spain Madrid.</w:t>
      </w:r>
    </w:p>
    <w:bookmarkStart w:id="23" w:name="X5098789fd9af4d6515443ab6527e058eb38a31a"/>
    <w:p>
      <w:pPr>
        <w:pStyle w:val="Heading3"/>
      </w:pPr>
      <w:r>
        <w:t xml:space="preserve">3.1 Technical Strategy and Architecture Design</w:t>
      </w:r>
    </w:p>
    <w:p>
      <w:pPr>
        <w:pStyle w:val="FirstParagraph"/>
      </w:pPr>
      <w:r>
        <w:t xml:space="preserve">The Systems Engineer began by conducting a comprehensive audit of the existing infrastructure. Utilizing tools such as Ansible for configuration management and Terraform for Infrastructure as Code (IaC), they designed a hybrid cloud architecture. The design prioritized:</w:t>
      </w:r>
    </w:p>
    <w:p>
      <w:pPr>
        <w:numPr>
          <w:ilvl w:val="0"/>
          <w:numId w:val="1002"/>
        </w:numPr>
        <w:pStyle w:val="Compact"/>
      </w:pPr>
      <w:r>
        <w:rPr>
          <w:bCs/>
          <w:b/>
        </w:rPr>
        <w:t xml:space="preserve">Hyperscale Cloud Integration:</w:t>
      </w:r>
      <w:r>
        <w:t xml:space="preserve"> </w:t>
      </w:r>
      <w:r>
        <w:t xml:space="preserve">Leveraging major cloud providers with data centers physically located in Madrid and nearby regions to ensure low latency and strict data residency compliance.</w:t>
      </w:r>
    </w:p>
    <w:p>
      <w:pPr>
        <w:numPr>
          <w:ilvl w:val="0"/>
          <w:numId w:val="1002"/>
        </w:numPr>
        <w:pStyle w:val="Compact"/>
      </w:pPr>
      <w:r>
        <w:rPr>
          <w:bCs/>
          <w:b/>
        </w:rPr>
        <w:t xml:space="preserve">Kubernetes Orchestration:</w:t>
      </w:r>
      <w:r>
        <w:t xml:space="preserve"> </w:t>
      </w:r>
      <w:r>
        <w:t xml:space="preserve">Implementing containerized microservices to allow for independent scaling of different banking applications, thereby improving overall system resilience.</w:t>
      </w:r>
    </w:p>
    <w:p>
      <w:pPr>
        <w:numPr>
          <w:ilvl w:val="0"/>
          <w:numId w:val="1002"/>
        </w:numPr>
        <w:pStyle w:val="Compact"/>
      </w:pPr>
      <w:r>
        <w:rPr>
          <w:bCs/>
          <w:b/>
        </w:rPr>
        <w:t xml:space="preserve">Zero Trust Security Model:</w:t>
      </w:r>
      <w:r>
        <w:t xml:space="preserve"> </w:t>
      </w:r>
      <w:r>
        <w:t xml:space="preserve">Redesigning network access policies to enforce strict identity verification for every person and device trying to access resources on the private network, a critical requirement for modern financial systems in Europe.</w:t>
      </w:r>
    </w:p>
    <w:bookmarkEnd w:id="23"/>
    <w:bookmarkStart w:id="24" w:name="navigating-the-spain-madrid-context"/>
    <w:p>
      <w:pPr>
        <w:pStyle w:val="Heading3"/>
      </w:pPr>
      <w:r>
        <w:t xml:space="preserve">3.2 Navigating the Spain Madrid Context</w:t>
      </w:r>
    </w:p>
    <w:p>
      <w:pPr>
        <w:pStyle w:val="FirstParagraph"/>
      </w:pPr>
      <w:r>
        <w:t xml:space="preserve">A critical aspect of this role was understanding the specific operational environment of Madrid. The Systems Engineer collaborated closely with local stakeholders to address unique regional factors:</w:t>
      </w:r>
    </w:p>
    <w:p>
      <w:pPr>
        <w:numPr>
          <w:ilvl w:val="0"/>
          <w:numId w:val="1003"/>
        </w:numPr>
        <w:pStyle w:val="Compact"/>
      </w:pPr>
      <w:r>
        <w:rPr>
          <w:bCs/>
          <w:b/>
        </w:rPr>
        <w:t xml:space="preserve">Linguistic and Cultural Alignment:</w:t>
      </w:r>
      <w:r>
        <w:t xml:space="preserve"> </w:t>
      </w:r>
      <w:r>
        <w:t xml:space="preserve">All documentation and training materials were adapted to be accessible for the local IT staff, ensuring smooth knowledge transfer. This included using terminology consistent with Spanish technical standards.</w:t>
      </w:r>
    </w:p>
    <w:p>
      <w:pPr>
        <w:numPr>
          <w:ilvl w:val="0"/>
          <w:numId w:val="1003"/>
        </w:numPr>
        <w:pStyle w:val="Compact"/>
      </w:pPr>
      <w:r>
        <w:rPr>
          <w:bCs/>
          <w:b/>
        </w:rPr>
        <w:t xml:space="preserve">Local Regulatory Navigation:</w:t>
      </w:r>
    </w:p>
    <w:p>
      <w:pPr>
        <w:numPr>
          <w:ilvl w:val="0"/>
          <w:numId w:val="1003"/>
        </w:numPr>
        <w:pStyle w:val="Compact"/>
      </w:pPr>
      <w:r>
        <w:rPr>
          <w:bCs/>
          <w:b/>
        </w:rPr>
        <w:t xml:space="preserve">Vendor Relations in Local Market:</w:t>
      </w:r>
    </w:p>
    <w:bookmarkEnd w:id="24"/>
    <w:bookmarkEnd w:id="25"/>
    <w:bookmarkStart w:id="29" w:name="implementation-phase"/>
    <w:p>
      <w:pPr>
        <w:pStyle w:val="Heading2"/>
      </w:pPr>
      <w:r>
        <w:t xml:space="preserve">4. Implementation Phase</w:t>
      </w:r>
    </w:p>
    <w:p>
      <w:pPr>
        <w:pStyle w:val="FirstParagraph"/>
      </w:pPr>
      <w:r>
        <w:t xml:space="preserve">The implementation was executed in three distinct phases over a period of six months, designed to minimize disruption to the bank's daily operations in Madrid.</w:t>
      </w:r>
    </w:p>
    <w:bookmarkStart w:id="26" w:name="Xbe21a0a81824b88ccdd617624b0ddb11852fa06"/>
    <w:p>
      <w:pPr>
        <w:pStyle w:val="Heading3"/>
      </w:pPr>
      <w:r>
        <w:rPr>
          <w:bCs/>
          <w:b/>
        </w:rPr>
        <w:t xml:space="preserve">Phase 1: Foundation and Security Hardening</w:t>
      </w:r>
    </w:p>
    <w:p>
      <w:pPr>
        <w:pStyle w:val="FirstParagraph"/>
      </w:pPr>
      <w:r>
        <w:t xml:space="preserve">The first phase focused on establishing the secure baseline. The Systems Engineer deployed the IaC templates to provision virtual private clouds (VPCs) within approved EU data centers. Simultaneously, identity and access management protocols were rewritten to enforce Multi-Factor Authentication (MFA) across all administrative accounts.</w:t>
      </w:r>
    </w:p>
    <w:bookmarkEnd w:id="26"/>
    <w:bookmarkStart w:id="27" w:name="phase-2-hybrid-migration"/>
    <w:p>
      <w:pPr>
        <w:pStyle w:val="Heading3"/>
      </w:pPr>
      <w:r>
        <w:rPr>
          <w:bCs/>
          <w:b/>
        </w:rPr>
        <w:t xml:space="preserve">Phase 2: Hybrid Migration</w:t>
      </w:r>
    </w:p>
    <w:p>
      <w:pPr>
        <w:pStyle w:val="FirstParagraph"/>
      </w:pPr>
      <w:r>
        <w:t xml:space="preserve">Data migration was performed using encrypted tunnels. The Systems Engineer utilized a "strangler fig" pattern, gradually replacing specific functionalities of the legacy monolithic application with new cloud-native microservices. This allowed for real-time testing and immediate rollback capabilities if any issues arose, ensuring business continuity for customers in Spain Madrid.</w:t>
      </w:r>
    </w:p>
    <w:bookmarkEnd w:id="27"/>
    <w:bookmarkStart w:id="28" w:name="phase-3-optimization-and-handover"/>
    <w:p>
      <w:pPr>
        <w:pStyle w:val="Heading3"/>
      </w:pPr>
      <w:r>
        <w:rPr>
          <w:bCs/>
          <w:b/>
        </w:rPr>
        <w:t xml:space="preserve">Phase 3: Optimization and Handover</w:t>
      </w:r>
    </w:p>
    <w:p>
      <w:pPr>
        <w:pStyle w:val="FirstParagraph"/>
      </w:pPr>
      <w:r>
        <w:t xml:space="preserve">The final phase involved performance tuning. The Systems Engineer implemented automated scaling policies that responded to traffic spikes common during Spanish market hours. A comprehensive training program was conducted for the local IT team, focusing on maintaining the new hybrid environment and responding to alerts via modern observability tools.</w:t>
      </w:r>
    </w:p>
    <w:bookmarkEnd w:id="28"/>
    <w:bookmarkEnd w:id="29"/>
    <w:bookmarkStart w:id="30" w:name="results-and-impact"/>
    <w:p>
      <w:pPr>
        <w:pStyle w:val="Heading2"/>
      </w:pPr>
      <w:r>
        <w:t xml:space="preserve">5. Results and Impact</w:t>
      </w:r>
    </w:p>
    <w:p>
      <w:pPr>
        <w:pStyle w:val="FirstParagraph"/>
      </w:pPr>
      <w:r>
        <w:t xml:space="preserve">The project delivered significant measurable benefits for the client:</w:t>
      </w:r>
    </w:p>
    <w:p>
      <w:pPr>
        <w:numPr>
          <w:ilvl w:val="0"/>
          <w:numId w:val="1004"/>
        </w:numPr>
        <w:pStyle w:val="Compact"/>
      </w:pPr>
      <w:r>
        <w:rPr>
          <w:bCs/>
          <w:b/>
        </w:rPr>
        <w:t xml:space="preserve">99.99% Uptime:</w:t>
      </w:r>
    </w:p>
    <w:p>
      <w:pPr>
        <w:numPr>
          <w:ilvl w:val="0"/>
          <w:numId w:val="1004"/>
        </w:numPr>
        <w:pStyle w:val="Compact"/>
      </w:pPr>
      <w:r>
        <w:rPr>
          <w:bCs/>
          <w:b/>
        </w:rPr>
        <w:t xml:space="preserve">Cost Reduction:</w:t>
      </w:r>
    </w:p>
    <w:p>
      <w:pPr>
        <w:numPr>
          <w:ilvl w:val="0"/>
          <w:numId w:val="1004"/>
        </w:numPr>
        <w:pStyle w:val="Compact"/>
      </w:pPr>
      <w:r>
        <w:t xml:space="preserve">Enhanced Security Posture:The Zero Trust implementation resulted in zero successful intrusion attempts during the post-migration period.</w:t>
      </w:r>
    </w:p>
    <w:p>
      <w:pPr>
        <w:numPr>
          <w:ilvl w:val="0"/>
          <w:numId w:val="1004"/>
        </w:numPr>
        <w:pStyle w:val="Compact"/>
      </w:pPr>
      <w:r>
        <w:t xml:space="preserve">Compliance Assurance:The new architecture passed a rigorous audit by the Bank of Spain, validating that all data residency and security protocols were strictly adhered to.</w:t>
      </w:r>
    </w:p>
    <w:bookmarkEnd w:id="30"/>
    <w:bookmarkStart w:id="31" w:name="key-takeaways-for-future-projects"/>
    <w:p>
      <w:pPr>
        <w:pStyle w:val="Heading2"/>
      </w:pPr>
      <w:r>
        <w:t xml:space="preserve">6. Key Takeaways for Future Projects</w:t>
      </w:r>
    </w:p>
    <w:p>
      <w:pPr>
        <w:pStyle w:val="FirstParagraph"/>
      </w:pPr>
      <w:r>
        <w:t xml:space="preserve">This case study underscores several critical lessons for organizations undertaking similar transformations, particularly in complex European markets like Spain Madrid:</w:t>
      </w:r>
    </w:p>
    <w:p>
      <w:pPr>
        <w:numPr>
          <w:ilvl w:val="0"/>
          <w:numId w:val="1005"/>
        </w:numPr>
        <w:pStyle w:val="Compact"/>
      </w:pPr>
      <w:r>
        <w:rPr>
          <w:bCs/>
          <w:b/>
        </w:rPr>
        <w:t xml:space="preserve">Automation is Non-Negotiable:</w:t>
      </w:r>
      <w:r>
        <w:t xml:space="preserve">In a high-compliance environment, manual processes are prone to human error. Infrastructure as Code provided the audit trail necessary for regulatory bodies.</w:t>
      </w:r>
    </w:p>
    <w:p>
      <w:pPr>
        <w:numPr>
          <w:ilvl w:val="0"/>
          <w:numId w:val="1005"/>
        </w:numPr>
        <w:pStyle w:val="Compact"/>
      </w:pPr>
      <w:r>
        <w:t xml:space="preserve">User-Centric Transition:The focus on training and supporting the local IT team in Madrid ensured sustainable long-term operations, preventing "key person dependency" risks.</w:t>
      </w:r>
    </w:p>
    <w:bookmarkEnd w:id="31"/>
    <w:bookmarkStart w:id="32" w:name="conclusion"/>
    <w:p>
      <w:pPr>
        <w:pStyle w:val="Heading2"/>
      </w:pPr>
      <w:r>
        <w:t xml:space="preserve">7. Conclusion</w:t>
      </w:r>
    </w:p>
    <w:p>
      <w:pPr>
        <w:pStyle w:val="FirstParagraph"/>
      </w:pPr>
      <w:r>
        <w:t xml:space="preserve">The transformation of Iberian Tech Solutions' client serves as a prime example of how a skilled Systems Engineer can drive significant technological advancement. By combining global technical standards with a deep contextual understanding of the Spain Madrid ecosystem, the project achieved not only technical excellence but also strategic business value.</w:t>
      </w:r>
    </w:p>
    <w:p>
      <w:pPr>
        <w:pStyle w:val="BodyText"/>
      </w:pPr>
      <w:r>
        <w:t xml:space="preserve">For other organizations considering similar upgrades in competitive European markets, this case study demonstrates that success lies at the intersection of robust engineering practices and localized strategic execution. The role of the Systems Engineer extends beyond code and servers; it encompasses being a bridge between global technology trends and local operational realities.</w:t>
      </w:r>
    </w:p>
    <w:p>
      <w:pPr>
        <w:pStyle w:val="BodyText"/>
      </w:pPr>
      <w:r>
        <w:t xml:space="preserve">© 2023 Iberian Tech Solutions. All rights reserved.</w:t>
      </w:r>
      <w:r>
        <w:br/>
      </w:r>
      <w:r>
        <w:t xml:space="preserve">Confidentiality Notice: This case study is intended for internal review and authorized partner distribution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 in Spain Madrid</dc:title>
  <dc:creator/>
  <dc:language>en</dc:language>
  <cp:keywords/>
  <dcterms:created xsi:type="dcterms:W3CDTF">2026-07-29T09:42:08Z</dcterms:created>
  <dcterms:modified xsi:type="dcterms:W3CDTF">2026-07-29T09:42:08Z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