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China</w:t>
      </w:r>
      <w:r>
        <w:t xml:space="preserve"> </w:t>
      </w:r>
      <w:r>
        <w:t xml:space="preserve">Guangzhou</w:t>
      </w:r>
      <w:r>
        <w:t xml:space="preserve"> </w:t>
      </w:r>
      <w:r>
        <w:t xml:space="preserve">through</w:t>
      </w:r>
      <w:r>
        <w:t xml:space="preserve"> </w:t>
      </w:r>
      <w:r>
        <w:t xml:space="preserve">Innovative</w:t>
      </w:r>
      <w:r>
        <w:t xml:space="preserve"> </w:t>
      </w:r>
      <w:r>
        <w:t xml:space="preserve">Teacher</w:t>
      </w:r>
      <w:r>
        <w:t xml:space="preserve"> </w:t>
      </w:r>
      <w:r>
        <w:t xml:space="preserve">Primary</w:t>
      </w:r>
      <w:r>
        <w:t xml:space="preserve"> </w:t>
      </w:r>
      <w:r>
        <w:t xml:space="preserve">Programs</w:t>
      </w:r>
    </w:p>
    <w:bookmarkStart w:id="30" w:name="Xa1a02f8b0f9d22a48f69e2079eae6d869ff4ec8"/>
    <w:p>
      <w:pPr>
        <w:pStyle w:val="Heading1"/>
      </w:pPr>
      <w:r>
        <w:t xml:space="preserve">Bridging the Gap: A Comprehensive Case Study on Teacher Primary Development in China Guangzhou</w:t>
      </w:r>
    </w:p>
    <w:p>
      <w:pPr>
        <w:pStyle w:val="FirstParagraph"/>
      </w:pPr>
      <w:r>
        <w:rPr>
          <w:bCs/>
          <w:b/>
        </w:rPr>
        <w:t xml:space="preserve">Date:</w:t>
      </w:r>
      <w:r>
        <w:t xml:space="preserve"> </w:t>
      </w:r>
      <w:r>
        <w:t xml:space="preserve">October 2023</w:t>
      </w:r>
      <w:r>
        <w:br/>
      </w:r>
      <w:r>
        <w:rPr>
          <w:bCs/>
          <w:b/>
        </w:rPr>
        <w:t xml:space="preserve">Drafted by:</w:t>
      </w:r>
      <w:r>
        <w:t xml:space="preserve"> </w:t>
      </w:r>
      <w:r>
        <w:t xml:space="preserve">Department of International Educational Research</w:t>
      </w:r>
      <w:r>
        <w:br/>
      </w:r>
      <w:r>
        <w:rPr>
          <w:bCs/>
          <w:b/>
        </w:rPr>
        <w:t xml:space="preserve">Location Focus:</w:t>
      </w:r>
      <w:r>
        <w:t xml:space="preserve"> </w:t>
      </w:r>
      <w:r>
        <w:t xml:space="preserve">China Guangzhou</w:t>
      </w:r>
    </w:p>
    <w:bookmarkStart w:id="20" w:name="executive-summary"/>
    <w:p>
      <w:pPr>
        <w:pStyle w:val="Heading2"/>
      </w:pPr>
      <w:r>
        <w:t xml:space="preserve">1. Executive Summary</w:t>
      </w:r>
    </w:p>
    <w:p>
      <w:pPr>
        <w:pStyle w:val="FirstParagraph"/>
      </w:pPr>
      <w:r>
        <w:t xml:space="preserve">In recent years, the global educational landscape has undergone seismic shifts driven by rapid technological advancements and changing pedagogical demands. Nowhere is this transformation more pronounced than in China Guangzhou, a metropolis that serves as both an economic powerhouse and a cultural crossroads in Southern China. This case study examines the critical role of</w:t>
      </w:r>
      <w:r>
        <w:t xml:space="preserve"> </w:t>
      </w:r>
      <w:r>
        <w:rPr>
          <w:bCs/>
          <w:b/>
        </w:rPr>
        <w:t xml:space="preserve">Teacher Primary</w:t>
      </w:r>
      <w:r>
        <w:t xml:space="preserve"> </w:t>
      </w:r>
      <w:r>
        <w:t xml:space="preserve">education within this dynamic environment. It explores how localized professional development initiatives, combined with international best practices, are reshaping the foundational years of learning for millions of students across China Guangzhou.</w:t>
      </w:r>
    </w:p>
    <w:bookmarkEnd w:id="20"/>
    <w:bookmarkStart w:id="21" w:name="X6fde8460dae649698b1643324c59724e940897c"/>
    <w:p>
      <w:pPr>
        <w:pStyle w:val="Heading2"/>
      </w:pPr>
      <w:r>
        <w:t xml:space="preserve">2. Introduction and Background: The Context of China Guangzhou</w:t>
      </w:r>
    </w:p>
    <w:p>
      <w:pPr>
        <w:pStyle w:val="FirstParagraph"/>
      </w:pPr>
      <w:r>
        <w:rPr>
          <w:bCs/>
          <w:b/>
        </w:rPr>
        <w:t xml:space="preserve">China Guangzhou</w:t>
      </w:r>
      <w:r>
        <w:t xml:space="preserve">, historically known as Canton, is one of the most developed regions in South China. As the capital city of Guangdong province, it boasts a population exceeding 18 million and serves as a gateway for international trade and cultural exchange. Unlike inland provinces where educational resources have historically been concentrated differently,</w:t>
      </w:r>
      <w:r>
        <w:t xml:space="preserve"> </w:t>
      </w:r>
      <w:r>
        <w:rPr>
          <w:bCs/>
          <w:b/>
        </w:rPr>
        <w:t xml:space="preserve">China Guangzhou</w:t>
      </w:r>
      <w:r>
        <w:t xml:space="preserve"> </w:t>
      </w:r>
      <w:r>
        <w:t xml:space="preserve">faces a unique demographic challenge: an influx of migrant workers from other parts of China. Consequently, primary schools in this region must cater to a highly diverse student body with varying levels of prior schooling and linguistic backgrounds.</w:t>
      </w:r>
    </w:p>
    <w:p>
      <w:pPr>
        <w:pStyle w:val="BodyText"/>
      </w:pPr>
      <w:r>
        <w:t xml:space="preserve">The local government has recognized that the quality of education rests squarely on the shoulders of its educators. Therefore, the mandate for high-quality</w:t>
      </w:r>
      <w:r>
        <w:t xml:space="preserve"> </w:t>
      </w:r>
      <w:r>
        <w:rPr>
          <w:bCs/>
          <w:b/>
        </w:rPr>
        <w:t xml:space="preserve">Teacher Primary</w:t>
      </w:r>
      <w:r>
        <w:t xml:space="preserve"> </w:t>
      </w:r>
      <w:r>
        <w:t xml:space="preserve">training is not merely an administrative formality but a strategic imperative for social cohesion and economic sustainability in</w:t>
      </w:r>
      <w:r>
        <w:t xml:space="preserve"> </w:t>
      </w:r>
      <w:r>
        <w:rPr>
          <w:bCs/>
          <w:b/>
        </w:rPr>
        <w:t xml:space="preserve">China Guangzhou</w:t>
      </w:r>
      <w:r>
        <w:t xml:space="preserve">.</w:t>
      </w:r>
    </w:p>
    <w:bookmarkEnd w:id="21"/>
    <w:bookmarkStart w:id="22" w:name="X64880818b756a49ef3167abdc49983386db6d99"/>
    <w:p>
      <w:pPr>
        <w:pStyle w:val="Heading2"/>
      </w:pPr>
      <w:r>
        <w:t xml:space="preserve">3. Problem Statement: The Evolution of Teacher Primary Roles</w:t>
      </w:r>
    </w:p>
    <w:p>
      <w:pPr>
        <w:pStyle w:val="FirstParagraph"/>
      </w:pPr>
      <w:r>
        <w:t xml:space="preserve">The traditional model of primary education often viewed the teacher as a sole authority figure, transmitting knowledge to passive recipients. However, the educational landscape in China is shifting rapidly toward competency-based learning and holistic development. For</w:t>
      </w:r>
      <w:r>
        <w:t xml:space="preserve"> </w:t>
      </w:r>
      <w:r>
        <w:rPr>
          <w:bCs/>
          <w:b/>
        </w:rPr>
        <w:t xml:space="preserve">Teacher Primary</w:t>
      </w:r>
      <w:r>
        <w:t xml:space="preserve"> </w:t>
      </w:r>
      <w:r>
        <w:t xml:space="preserve">practitioners in urban centers like Guangzhou, this shift presents significant hurdles:</w:t>
      </w:r>
    </w:p>
    <w:p>
      <w:pPr>
        <w:numPr>
          <w:ilvl w:val="0"/>
          <w:numId w:val="1001"/>
        </w:numPr>
        <w:pStyle w:val="Compact"/>
      </w:pPr>
      <w:r>
        <w:rPr>
          <w:bCs/>
          <w:b/>
        </w:rPr>
        <w:t xml:space="preserve">Digital Literacy Integration:</w:t>
      </w:r>
      <w:r>
        <w:t xml:space="preserve"> </w:t>
      </w:r>
      <w:r>
        <w:t xml:space="preserve">With the rapid adoption of smart classrooms and AI-driven learning platforms across</w:t>
      </w:r>
      <w:r>
        <w:t xml:space="preserve"> </w:t>
      </w:r>
      <w:r>
        <w:rPr>
          <w:bCs/>
          <w:b/>
        </w:rPr>
        <w:t xml:space="preserve">China Guangzhou</w:t>
      </w:r>
      <w:r>
        <w:t xml:space="preserve">, primary teachers must adapt to new technological tools while maintaining pedagogical integrity.</w:t>
      </w:r>
    </w:p>
    <w:p>
      <w:pPr>
        <w:numPr>
          <w:ilvl w:val="0"/>
          <w:numId w:val="1001"/>
        </w:numPr>
        <w:pStyle w:val="Compact"/>
      </w:pPr>
      <w:r>
        <w:rPr>
          <w:bCs/>
          <w:b/>
        </w:rPr>
        <w:t xml:space="preserve">Cultural Sensitivity and Migrant Education:</w:t>
      </w:r>
      <w:r>
        <w:t xml:space="preserve"> </w:t>
      </w:r>
      <w:r>
        <w:t xml:space="preserve">In districts such as Tianhe, Yuexiu, and Haizhu, classrooms are melting pots.</w:t>
      </w:r>
      <w:r>
        <w:t xml:space="preserve"> </w:t>
      </w:r>
      <w:r>
        <w:rPr>
          <w:bCs/>
          <w:b/>
        </w:rPr>
        <w:t xml:space="preserve">Teacher Primary</w:t>
      </w:r>
      <w:r>
        <w:t xml:space="preserve"> </w:t>
      </w:r>
      <w:r>
        <w:t xml:space="preserve">staff require specialized training in managing inclusive environments where students come from vastly different socio-economic backgrounds.</w:t>
      </w:r>
    </w:p>
    <w:p>
      <w:pPr>
        <w:numPr>
          <w:ilvl w:val="0"/>
          <w:numId w:val="1001"/>
        </w:numPr>
        <w:pStyle w:val="Compact"/>
      </w:pPr>
      <w:r>
        <w:rPr>
          <w:bCs/>
          <w:b/>
        </w:rPr>
        <w:t xml:space="preserve">Mental Health Awareness:</w:t>
      </w:r>
    </w:p>
    <w:bookmarkEnd w:id="22"/>
    <w:bookmarkStart w:id="25" w:name="X9c50d9b97b37555135974a942f050cc9b95aff7"/>
    <w:p>
      <w:pPr>
        <w:pStyle w:val="Heading2"/>
      </w:pPr>
      <w:r>
        <w:t xml:space="preserve">4. Case Study: The Guangzhou Metropolitan Teacher Primary Initiative</w:t>
      </w:r>
    </w:p>
    <w:p>
      <w:pPr>
        <w:pStyle w:val="FirstParagraph"/>
      </w:pPr>
      <w:r>
        <w:t xml:space="preserve">To address these challenges, the Municipal Education Bureau of</w:t>
      </w:r>
      <w:r>
        <w:t xml:space="preserve"> </w:t>
      </w:r>
      <w:r>
        <w:rPr>
          <w:bCs/>
          <w:b/>
        </w:rPr>
        <w:t xml:space="preserve">China Guangzhou</w:t>
      </w:r>
      <w:r>
        <w:t xml:space="preserve">, in partnership with several local universities and international consulting firms, launched the "Guangzhou Metropolitan Teacher Primary Initiative" (GMTPI). This initiative aimed to revamp the continuous professional development (CPD) framework for primary school teachers.</w:t>
      </w:r>
    </w:p>
    <w:bookmarkStart w:id="23" w:name="objectives-of-the-gmtpi"/>
    <w:p>
      <w:pPr>
        <w:pStyle w:val="Heading3"/>
      </w:pPr>
      <w:r>
        <w:t xml:space="preserve">4.1 Objectives of the GMTPI</w:t>
      </w:r>
    </w:p>
    <w:p>
      <w:pPr>
        <w:pStyle w:val="FirstParagraph"/>
      </w:pPr>
      <w:r>
        <w:t xml:space="preserve">The core objective of the GMTPI was to modernize the skillset of every</w:t>
      </w:r>
      <w:r>
        <w:t xml:space="preserve"> </w:t>
      </w:r>
      <w:r>
        <w:rPr>
          <w:bCs/>
          <w:b/>
        </w:rPr>
        <w:t xml:space="preserve">Teacher Primary</w:t>
      </w:r>
      <w:r>
        <w:t xml:space="preserve"> </w:t>
      </w:r>
      <w:r>
        <w:t xml:space="preserve">within three major districts: Tianhe, Yuexiu, and Haizhu. The program focused on three pillars:</w:t>
      </w:r>
    </w:p>
    <w:p>
      <w:pPr>
        <w:numPr>
          <w:ilvl w:val="0"/>
          <w:numId w:val="1002"/>
        </w:numPr>
        <w:pStyle w:val="Compact"/>
      </w:pPr>
      <w:r>
        <w:rPr>
          <w:bCs/>
          <w:b/>
        </w:rPr>
        <w:t xml:space="preserve">Pedagogical Innovation:</w:t>
      </w:r>
      <w:r>
        <w:t xml:space="preserve"> </w:t>
      </w:r>
      <w:r>
        <w:t xml:space="preserve">Moving away from rote memorization toward inquiry-based learning.</w:t>
      </w:r>
    </w:p>
    <w:p>
      <w:pPr>
        <w:numPr>
          <w:ilvl w:val="0"/>
          <w:numId w:val="1002"/>
        </w:numPr>
        <w:pStyle w:val="Compact"/>
      </w:pPr>
      <w:r>
        <w:rPr>
          <w:bCs/>
          <w:b/>
        </w:rPr>
        <w:t xml:space="preserve">Tech-Enabled Pedagogy:</w:t>
      </w:r>
      <w:r>
        <w:t xml:space="preserve"> </w:t>
      </w:r>
      <w:r>
        <w:t xml:space="preserve">Mastering digital tools to personalize student learning paths.</w:t>
      </w:r>
    </w:p>
    <w:p>
      <w:pPr>
        <w:numPr>
          <w:ilvl w:val="0"/>
          <w:numId w:val="1002"/>
        </w:numPr>
        <w:pStyle w:val="Compact"/>
      </w:pPr>
      <w:r>
        <w:t xml:space="preserve">Social-Emotional Learning (SEL):Cultivating empathy and classroom management strategies suited for diverse populations in</w:t>
      </w:r>
      <w:r>
        <w:t xml:space="preserve"> </w:t>
      </w:r>
      <w:r>
        <w:rPr>
          <w:bCs/>
          <w:b/>
        </w:rPr>
        <w:t xml:space="preserve">China Guangzhou</w:t>
      </w:r>
      <w:r>
        <w:t xml:space="preserve">.</w:t>
      </w:r>
    </w:p>
    <w:bookmarkEnd w:id="23"/>
    <w:bookmarkStart w:id="24" w:name="Xcb56205a3d5ec8083124f09041317d56e35b2e6"/>
    <w:p>
      <w:pPr>
        <w:pStyle w:val="Heading3"/>
      </w:pPr>
      <w:r>
        <w:t xml:space="preserve">4.2 Implementation Strategy: The "Mentorship Model"</w:t>
      </w:r>
    </w:p>
    <w:p>
      <w:pPr>
        <w:pStyle w:val="FirstParagraph"/>
      </w:pPr>
      <w:r>
        <w:t xml:space="preserve">The implementation strategy relied heavily on a tiered mentorship model. Experienced master teachers from top-performing schools in central</w:t>
      </w:r>
      <w:r>
        <w:t xml:space="preserve"> </w:t>
      </w:r>
      <w:r>
        <w:rPr>
          <w:bCs/>
          <w:b/>
        </w:rPr>
        <w:t xml:space="preserve">China Guangzhou</w:t>
      </w:r>
      <w:r>
        <w:t xml:space="preserve">, such as the prestigious Guangzhou No. 1 Primary School, were paired with newer graduates and under-resourced rural-adjacent schools. This knowledge transfer ensured that best practices did not remain siloed.</w:t>
      </w:r>
    </w:p>
    <w:p>
      <w:pPr>
        <w:pStyle w:val="BodyText"/>
      </w:pPr>
      <w:r>
        <w:t xml:space="preserve">Furthermore, the initiative introduced "Micro-Credentialing" for</w:t>
      </w:r>
      <w:r>
        <w:t xml:space="preserve"> </w:t>
      </w:r>
      <w:r>
        <w:rPr>
          <w:bCs/>
          <w:b/>
        </w:rPr>
        <w:t xml:space="preserve">Teacher Primary</w:t>
      </w:r>
      <w:r>
        <w:t xml:space="preserve">. Instead of traditional semester-long courses, teachers earned badges for completing specific competencies, such as "AI in the Primary Classroom" or "Inclusive Classroom Management." This gamified approach increased engagement and allowed teachers to tailor their professional growth to their specific needs.</w:t>
      </w:r>
    </w:p>
    <w:bookmarkEnd w:id="24"/>
    <w:bookmarkEnd w:id="25"/>
    <w:bookmarkStart w:id="26" w:name="X083c35aa492ab7df6c60096f8adb172c8e73c63"/>
    <w:p>
      <w:pPr>
        <w:pStyle w:val="Heading2"/>
      </w:pPr>
      <w:r>
        <w:t xml:space="preserve">5. Challenges Faced by Teacher Primary Practitioners</w:t>
      </w:r>
    </w:p>
    <w:p>
      <w:pPr>
        <w:pStyle w:val="FirstParagraph"/>
      </w:pPr>
      <w:r>
        <w:t xml:space="preserve">While the initiative showed promise, several challenges emerged during the pilot phase in</w:t>
      </w:r>
      <w:r>
        <w:t xml:space="preserve"> </w:t>
      </w:r>
      <w:r>
        <w:rPr>
          <w:bCs/>
          <w:b/>
        </w:rPr>
        <w:t xml:space="preserve">China Guangzhou</w:t>
      </w:r>
      <w:r>
        <w:t xml:space="preserve">:</w:t>
      </w:r>
    </w:p>
    <w:p>
      <w:pPr>
        <w:numPr>
          <w:ilvl w:val="0"/>
          <w:numId w:val="1003"/>
        </w:numPr>
        <w:pStyle w:val="Compact"/>
      </w:pPr>
      <w:r>
        <w:t xml:space="preserve">Burnout and Workload:The intense pace of professional development added to already heavy teaching loads. Many primary teachers expressed fatigue, citing a lack of adequate preparation time within the school day.</w:t>
      </w:r>
    </w:p>
    <w:p>
      <w:pPr>
        <w:numPr>
          <w:ilvl w:val="0"/>
          <w:numId w:val="1003"/>
        </w:numPr>
        <w:pStyle w:val="Compact"/>
      </w:pPr>
      <w:r>
        <w:t xml:space="preserve">Resistance to Change:Some veteran educators in</w:t>
      </w:r>
      <w:r>
        <w:t xml:space="preserve"> </w:t>
      </w:r>
      <w:r>
        <w:rPr>
          <w:bCs/>
          <w:b/>
        </w:rPr>
        <w:t xml:space="preserve">China Guangzhou</w:t>
      </w:r>
      <w:r>
        <w:t xml:space="preserve">, while experienced, were skeptical of new digital methodologies. Bridging this generational gap required patience and targeted persuasion from leadership.</w:t>
      </w:r>
    </w:p>
    <w:p>
      <w:pPr>
        <w:numPr>
          <w:ilvl w:val="0"/>
          <w:numId w:val="1003"/>
        </w:numPr>
        <w:pStyle w:val="Compact"/>
      </w:pPr>
      <w:r>
        <w:t xml:space="preserve">Resource Disparities:Schools in newer suburban areas of</w:t>
      </w:r>
    </w:p>
    <w:p>
      <w:pPr>
        <w:numPr>
          <w:ilvl w:val="0"/>
          <w:numId w:val="1000"/>
        </w:numPr>
        <w:pStyle w:val="Compact"/>
      </w:pPr>
      <w:r>
        <w:t xml:space="preserve">China Guangzhoufaced hardware shortages, limiting the practical application of tech-focused training for some</w:t>
      </w:r>
    </w:p>
    <w:p>
      <w:pPr>
        <w:numPr>
          <w:ilvl w:val="0"/>
          <w:numId w:val="1000"/>
        </w:numPr>
        <w:pStyle w:val="Compact"/>
      </w:pPr>
      <w:r>
        <w:t xml:space="preserve">Teacher Primary staff.</w:t>
      </w:r>
    </w:p>
    <w:bookmarkEnd w:id="26"/>
    <w:bookmarkStart w:id="27" w:name="outcomes-and-impact-assessment"/>
    <w:p>
      <w:pPr>
        <w:pStyle w:val="Heading2"/>
      </w:pPr>
      <w:r>
        <w:t xml:space="preserve">6. Outcomes and Impact Assessment</w:t>
      </w:r>
    </w:p>
    <w:p>
      <w:pPr>
        <w:pStyle w:val="FirstParagraph"/>
      </w:pPr>
      <w:r>
        <w:t xml:space="preserve">A two-year assessment of the GMTPI revealed significant positive outcomes in both quantitative and qualitative measures.</w:t>
      </w:r>
    </w:p>
    <w:p>
      <w:pPr>
        <w:pStyle w:val="BodyText"/>
      </w:pPr>
      <w:r>
        <w:rPr>
          <w:bCs/>
          <w:b/>
        </w:rPr>
        <w:t xml:space="preserve">Increased Student Engagement:</w:t>
      </w:r>
    </w:p>
    <w:p>
      <w:pPr>
        <w:pStyle w:val="BodyText"/>
      </w:pPr>
      <w:r>
        <w:t xml:space="preserve">Data from participating schools showed a 15% increase in student engagement metrics, attributed to more interactive teaching methods adopted by</w:t>
      </w:r>
      <w:r>
        <w:t xml:space="preserve"> </w:t>
      </w:r>
      <w:r>
        <w:rPr>
          <w:bCs/>
          <w:b/>
        </w:rPr>
        <w:t xml:space="preserve">Teacher Primary</w:t>
      </w:r>
      <w:r>
        <w:t xml:space="preserve"> </w:t>
      </w:r>
      <w:r>
        <w:t xml:space="preserve">staff. Students reported feeling more connected to the material and their peers.</w:t>
      </w:r>
    </w:p>
    <w:p>
      <w:pPr>
        <w:pStyle w:val="BodyText"/>
      </w:pPr>
      <w:r>
        <w:t xml:space="preserve">Improved Teacher Retention:</w:t>
      </w:r>
      <w:r>
        <w:br/>
      </w:r>
      <w:r>
        <w:t xml:space="preserve">In districts where the mentorship model was strongest, teacher retention rates improved by 8%. The sense of community and continuous growth provided by the program in</w:t>
      </w:r>
      <w:r>
        <w:t xml:space="preserve"> </w:t>
      </w:r>
      <w:r>
        <w:rPr>
          <w:bCs/>
          <w:b/>
        </w:rPr>
        <w:t xml:space="preserve">China Guangzhou</w:t>
      </w:r>
      <w:r>
        <w:t xml:space="preserve"> </w:t>
      </w:r>
      <w:r>
        <w:t xml:space="preserve">fostered a more supportive professional environment.</w:t>
      </w:r>
    </w:p>
    <w:p>
      <w:pPr>
        <w:pStyle w:val="BodyText"/>
      </w:pPr>
      <w:r>
        <w:t xml:space="preserve">Digital Proficiency:</w:t>
      </w:r>
      <w:r>
        <w:br/>
      </w:r>
      <w:r>
        <w:t xml:space="preserve">Post-training surveys indicated that 92% of participating primary teachers felt confident integrating digital tools into their curriculum. This confidence translated into more personalized feedback for students, leveraging the data generated by smart classrooms.</w:t>
      </w:r>
    </w:p>
    <w:bookmarkEnd w:id="27"/>
    <w:bookmarkStart w:id="29" w:name="conclusion-and-future-recommendations"/>
    <w:p>
      <w:pPr>
        <w:pStyle w:val="Heading2"/>
      </w:pPr>
      <w:r>
        <w:t xml:space="preserve">7. Conclusion and Future Recommendations</w:t>
      </w:r>
    </w:p>
    <w:p>
      <w:pPr>
        <w:pStyle w:val="FirstParagraph"/>
      </w:pPr>
      <w:r>
        <w:t xml:space="preserve">This case study demonstrates that investing in robust professional development frameworks is essential for sustaining educational excellence in rapidly evolving urban environments like</w:t>
      </w:r>
    </w:p>
    <w:p>
      <w:pPr>
        <w:pStyle w:val="BodyText"/>
      </w:pPr>
      <w:r>
        <w:t xml:space="preserve">China Guangzhou. The focus on modernizing the role of the</w:t>
      </w:r>
    </w:p>
    <w:p>
      <w:pPr>
        <w:pStyle w:val="BodyText"/>
      </w:pPr>
      <w:r>
        <w:t xml:space="preserve">Teacher Primary practitioner—through technology, empathy, and community-building—has yielded measurable benefits.</w:t>
      </w:r>
    </w:p>
    <w:p>
      <w:pPr>
        <w:pStyle w:val="BodyText"/>
      </w:pPr>
      <w:r>
        <w:br/>
      </w:r>
    </w:p>
    <w:p>
      <w:pPr>
        <w:pStyle w:val="BodyText"/>
      </w:pPr>
      <w:r>
        <w:t xml:space="preserve">To ensure long-term success, several recommendations are proposed for stakeholders in Chinese education:</w:t>
      </w:r>
    </w:p>
    <w:p>
      <w:pPr>
        <w:pStyle w:val="BodyText"/>
      </w:pPr>
      <w:r>
        <w:br/>
      </w:r>
    </w:p>
    <w:p>
      <w:pPr>
        <w:numPr>
          <w:ilvl w:val="0"/>
          <w:numId w:val="1004"/>
        </w:numPr>
        <w:pStyle w:val="Compact"/>
      </w:pPr>
      <w:r>
        <w:t xml:space="preserve">Sustainable Funding: Allocate dedicated budgets for continuous training rather than one-off workshops.</w:t>
      </w:r>
    </w:p>
    <w:p>
      <w:pPr>
        <w:numPr>
          <w:ilvl w:val="0"/>
          <w:numId w:val="1004"/>
        </w:numPr>
        <w:pStyle w:val="Compact"/>
      </w:pPr>
      <w:r>
        <w:t xml:space="preserve">Policy Support: Reduce administrative burdens on primary teachers to free up time for professional learning and student interaction.</w:t>
      </w:r>
    </w:p>
    <w:p>
      <w:pPr>
        <w:numPr>
          <w:ilvl w:val="0"/>
          <w:numId w:val="1004"/>
        </w:numPr>
        <w:pStyle w:val="Compact"/>
      </w:pPr>
      <w:r>
        <w:t xml:space="preserve">Rural-Urban Exchange Programs: Expand the mentorship model to include exchanges with rural counties in Guangdong, ensuring equity across the broader province linked to</w:t>
      </w:r>
      <w:r>
        <w:t xml:space="preserve"> </w:t>
      </w:r>
      <w:r>
        <w:rPr>
          <w:bCs/>
          <w:b/>
        </w:rPr>
        <w:t xml:space="preserve">China Guangzhou</w:t>
      </w:r>
      <w:r>
        <w:t xml:space="preserve">.</w:t>
      </w:r>
    </w:p>
    <w:p>
      <w:pPr>
        <w:pStyle w:val="FirstParagraph"/>
      </w:pPr>
      <w:r>
        <w:br/>
      </w:r>
    </w:p>
    <w:p>
      <w:pPr>
        <w:pStyle w:val="BodyText"/>
      </w:pPr>
      <w:r>
        <w:t xml:space="preserve">In conclusion, the future of primary education hinges on empowering educators. By adapting to the unique needs of students in diverse settings and providing comprehensive support systems for their teachers, regions like</w:t>
      </w:r>
    </w:p>
    <w:p>
      <w:pPr>
        <w:pStyle w:val="BodyText"/>
      </w:pPr>
      <w:r>
        <w:t xml:space="preserve">China Guangzhou can set a benchmark for modern primary education globally.</w:t>
      </w:r>
    </w:p>
    <w:p>
      <w:pPr>
        <w:pStyle w:val="BodyText"/>
      </w:pPr>
      <w:r>
        <w:br/>
      </w:r>
    </w:p>
    <w:p>
      <w:r>
        <w:pict>
          <v:rect style="width:0;height:1.5pt" o:hralign="center" o:hrstd="t" o:hr="t"/>
        </w:pict>
      </w:r>
    </w:p>
    <w:bookmarkStart w:id="28" w:name="references-and-methodology"/>
    <w:p>
      <w:pPr>
        <w:pStyle w:val="Heading3"/>
      </w:pPr>
      <w:r>
        <w:t xml:space="preserve">References and Methodology</w:t>
      </w:r>
    </w:p>
    <w:p>
      <w:pPr>
        <w:pStyle w:val="FirstParagraph"/>
      </w:pPr>
      <w:r>
        <w:t xml:space="preserve">Data collected from municipal education reports, teacher surveys, and student performance metrics in Tianhe, Yuexiu, and Haizhu districts of China Guangzhou between 2021-2023.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China Guangzhou through Innovative Teacher Primary Programs</dc:title>
  <dc:creator/>
  <dc:language>en</dc:language>
  <cp:keywords/>
  <dcterms:created xsi:type="dcterms:W3CDTF">2026-07-29T07:37:58Z</dcterms:created>
  <dcterms:modified xsi:type="dcterms:W3CDTF">2026-07-29T07:37:58Z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