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Kazakhstan</w:t>
      </w:r>
      <w:r>
        <w:t xml:space="preserve"> </w:t>
      </w:r>
      <w:r>
        <w:t xml:space="preserve">Almaty</w:t>
      </w:r>
    </w:p>
    <w:bookmarkStart w:id="31" w:name="Xfee77ea2b8332be1c724cb4bf8f89223fbfea2f"/>
    <w:p>
      <w:pPr>
        <w:pStyle w:val="Heading1"/>
      </w:pPr>
      <w:r>
        <w:t xml:space="preserve">Bridging Tradition and Innovation in Education</w:t>
      </w:r>
    </w:p>
    <w:p>
      <w:pPr>
        <w:pStyle w:val="FirstParagraph"/>
      </w:pPr>
      <w:r>
        <w:rPr>
          <w:bCs/>
          <w:b/>
        </w:rPr>
        <w:t xml:space="preserve">Abridged Case Study:</w:t>
      </w:r>
      <w:r>
        <w:br/>
      </w:r>
      <w:r>
        <w:t xml:space="preserve">A comprehensive analysis of the pedagogical challenges, technological integration, and cultural nuances encountered by a</w:t>
      </w:r>
      <w:r>
        <w:t xml:space="preserve"> </w:t>
      </w:r>
      <w:r>
        <w:rPr>
          <w:bCs/>
          <w:b/>
        </w:rPr>
        <w:t xml:space="preserve">Teacher Primary</w:t>
      </w:r>
      <w:r>
        <w:t xml:space="preserve"> </w:t>
      </w:r>
      <w:r>
        <w:t xml:space="preserve">operating within the dynamic educational landscape of</w:t>
      </w:r>
      <w:r>
        <w:t xml:space="preserve"> </w:t>
      </w:r>
      <w:r>
        <w:rPr>
          <w:bCs/>
          <w:b/>
        </w:rPr>
        <w:t xml:space="preserve">Kazakhstan Almaty</w:t>
      </w:r>
      <w:r>
        <w:t xml:space="preserve">. This document explores how modernizing early childhood education serves as a catalyst for national development.</w:t>
      </w:r>
    </w:p>
    <w:bookmarkStart w:id="20" w:name="introduction-and-contextual-background"/>
    <w:p>
      <w:pPr>
        <w:pStyle w:val="Heading2"/>
      </w:pPr>
      <w:r>
        <w:t xml:space="preserve">1. Introduction and Contextual Background</w:t>
      </w:r>
    </w:p>
    <w:p>
      <w:pPr>
        <w:pStyle w:val="FirstParagraph"/>
      </w:pPr>
      <w:r>
        <w:t xml:space="preserve">The Republic of Kazakhstan is currently undergoing significant socio-economic transformation, with its largest metropolis, Almaty, serving as the epicenter of cultural and educational innovation. As the country strives to integrate into the global knowledge economy, the quality of foundational education has become a paramount national priority. In this context, the role of a</w:t>
      </w:r>
      <w:r>
        <w:t xml:space="preserve"> </w:t>
      </w:r>
      <w:r>
        <w:rPr>
          <w:bCs/>
          <w:b/>
        </w:rPr>
        <w:t xml:space="preserve">Teacher Primary</w:t>
      </w:r>
      <w:r>
        <w:t xml:space="preserve"> </w:t>
      </w:r>
      <w:r>
        <w:t xml:space="preserve">extends far beyond simple instruction; they are now positioned as facilitators of critical thinking, digital literacy, and cross-cultural understanding.</w:t>
      </w:r>
    </w:p>
    <w:p>
      <w:pPr>
        <w:pStyle w:val="BodyText"/>
      </w:pPr>
      <w:r>
        <w:t xml:space="preserve">This case study focuses on the specific environment of</w:t>
      </w:r>
      <w:r>
        <w:t xml:space="preserve"> </w:t>
      </w:r>
      <w:r>
        <w:rPr>
          <w:bCs/>
          <w:b/>
        </w:rPr>
        <w:t xml:space="preserve">Kazakhstan Almaty</w:t>
      </w:r>
      <w:r>
        <w:t xml:space="preserve">, a city that uniquely blends Soviet-era educational infrastructure with modern Western pedagogical influences. The focus is placed on the primary school level (grades 1–4), where students acquire the fundamental skills necessary for lifelong learning. By examining the experiences of educators in this region, we can understand broader trends in Central Asian education reform.</w:t>
      </w:r>
    </w:p>
    <w:bookmarkEnd w:id="20"/>
    <w:bookmarkStart w:id="22" w:name="X026b0fa8b5c278d900a51b20f9bc66270af59a1"/>
    <w:p>
      <w:pPr>
        <w:pStyle w:val="Heading2"/>
      </w:pPr>
      <w:r>
        <w:t xml:space="preserve">2. Profile of the Subject: The Modern Teacher Primary</w:t>
      </w:r>
    </w:p>
    <w:p>
      <w:pPr>
        <w:pStyle w:val="FirstParagraph"/>
      </w:pPr>
      <w:r>
        <w:t xml:space="preserve">The subject of this case study is Elena Petrovna, a veteran educator with fifteen years of experience at a prestigious primary school in the Alaudin District of</w:t>
      </w:r>
      <w:r>
        <w:t xml:space="preserve"> </w:t>
      </w:r>
      <w:r>
        <w:rPr>
          <w:bCs/>
          <w:b/>
        </w:rPr>
        <w:t xml:space="preserve">Kazakhstan Almaty</w:t>
      </w:r>
      <w:r>
        <w:t xml:space="preserve">. Elena represents a hybrid generation of educators: she received her initial training in traditional methods but has recently undergone rigorous professional development programs focused on competency-based education. Her classroom serves as a microcosm for the wider shifts occurring within</w:t>
      </w:r>
      <w:r>
        <w:t xml:space="preserve"> </w:t>
      </w:r>
      <w:r>
        <w:rPr>
          <w:bCs/>
          <w:b/>
        </w:rPr>
        <w:t xml:space="preserve">Kazakhstan Almaty</w:t>
      </w:r>
      <w:r>
        <w:t xml:space="preserve">’s public and private educational sectors.</w:t>
      </w:r>
    </w:p>
    <w:bookmarkStart w:id="21" w:name="demographic-composition-of-the-classroom"/>
    <w:p>
      <w:pPr>
        <w:pStyle w:val="Heading3"/>
      </w:pPr>
      <w:r>
        <w:t xml:space="preserve">Demographic Composition of the Classroom</w:t>
      </w:r>
    </w:p>
    <w:p>
      <w:pPr>
        <w:pStyle w:val="FirstParagraph"/>
      </w:pPr>
      <w:r>
        <w:t xml:space="preserve">Institutions in</w:t>
      </w:r>
      <w:r>
        <w:t xml:space="preserve"> </w:t>
      </w:r>
      <w:r>
        <w:rPr>
          <w:bCs/>
          <w:b/>
        </w:rPr>
        <w:t xml:space="preserve">Kazakhstan Almaty</w:t>
      </w:r>
      <w:r>
        <w:t xml:space="preserve"> </w:t>
      </w:r>
      <w:r>
        <w:t xml:space="preserve">often feature highly diverse student bodies. Elena’s primary classroom includes students from Kazakh-speaking families, Russian-speaking households, and a growing number of expatriate children due to the city’s status as an international business hub. This diversity places unique demands on the</w:t>
      </w:r>
      <w:r>
        <w:t xml:space="preserve"> </w:t>
      </w:r>
      <w:r>
        <w:rPr>
          <w:bCs/>
          <w:b/>
        </w:rPr>
        <w:t xml:space="preserve">Teacher Primary</w:t>
      </w:r>
      <w:r>
        <w:t xml:space="preserve">, who must navigate linguistic barriers while ensuring equitable access to curriculum content.</w:t>
      </w:r>
    </w:p>
    <w:bookmarkEnd w:id="21"/>
    <w:bookmarkEnd w:id="22"/>
    <w:bookmarkStart w:id="23" w:name="core-challenges-identified"/>
    <w:p>
      <w:pPr>
        <w:pStyle w:val="Heading2"/>
      </w:pPr>
      <w:r>
        <w:t xml:space="preserve">3. Core Challenges Identified</w:t>
      </w:r>
    </w:p>
    <w:p>
      <w:pPr>
        <w:pStyle w:val="FirstParagraph"/>
      </w:pPr>
      <w:r>
        <w:t xml:space="preserve">The transition toward modern educational standards in</w:t>
      </w:r>
      <w:r>
        <w:t xml:space="preserve"> </w:t>
      </w:r>
      <w:r>
        <w:rPr>
          <w:bCs/>
          <w:b/>
        </w:rPr>
        <w:t xml:space="preserve">Kazakhstan Almaty</w:t>
      </w:r>
      <w:r>
        <w:t xml:space="preserve"> </w:t>
      </w:r>
      <w:r>
        <w:t xml:space="preserve">has presented several distinct challenges for primary educators:</w:t>
      </w:r>
    </w:p>
    <w:p>
      <w:pPr>
        <w:numPr>
          <w:ilvl w:val="0"/>
          <w:numId w:val="1001"/>
        </w:numPr>
        <w:pStyle w:val="Compact"/>
      </w:pPr>
      <w:r>
        <w:rPr>
          <w:bCs/>
          <w:b/>
        </w:rPr>
        <w:t xml:space="preserve">Linguistic Transition:</w:t>
      </w:r>
      <w:r>
        <w:t xml:space="preserve"> </w:t>
      </w:r>
      <w:r>
        <w:t xml:space="preserve">The national push to strengthen the Kazakh language while maintaining high proficiency in Russian and English requires teachers to adapt their instructional strategies. For a</w:t>
      </w:r>
      <w:r>
        <w:t xml:space="preserve"> </w:t>
      </w:r>
      <w:r>
        <w:rPr>
          <w:bCs/>
          <w:b/>
        </w:rPr>
        <w:t xml:space="preserve">Teacher Primary</w:t>
      </w:r>
      <w:r>
        <w:t xml:space="preserve">, this often means implementing bilingual learning tools without compromising comprehension of core subjects like mathematics and science.</w:t>
      </w:r>
    </w:p>
    <w:p>
      <w:pPr>
        <w:numPr>
          <w:ilvl w:val="0"/>
          <w:numId w:val="1001"/>
        </w:numPr>
        <w:pStyle w:val="Compact"/>
      </w:pPr>
      <w:r>
        <w:rPr>
          <w:bCs/>
          <w:b/>
        </w:rPr>
        <w:t xml:space="preserve">Digital Divide and Integration:</w:t>
      </w:r>
      <w:r>
        <w:t xml:space="preserve"> </w:t>
      </w:r>
      <w:r>
        <w:t xml:space="preserve">While urban centers like</w:t>
      </w:r>
      <w:r>
        <w:t xml:space="preserve"> </w:t>
      </w:r>
      <w:r>
        <w:rPr>
          <w:bCs/>
          <w:b/>
        </w:rPr>
        <w:t xml:space="preserve">Kazakhstan Almaty</w:t>
      </w:r>
      <w:r>
        <w:t xml:space="preserve"> </w:t>
      </w:r>
      <w:r>
        <w:t xml:space="preserve">have high internet penetration, ensuring that all students can utilize digital educational resources effectively remains a hurdle. The role of the teacher has shifted from being the sole source of knowledge to being a guide who helps children navigate digital information.</w:t>
      </w:r>
    </w:p>
    <w:p>
      <w:pPr>
        <w:numPr>
          <w:ilvl w:val="0"/>
          <w:numId w:val="1001"/>
        </w:numPr>
        <w:pStyle w:val="Compact"/>
      </w:pPr>
      <w:r>
        <w:rPr>
          <w:bCs/>
          <w:b/>
        </w:rPr>
        <w:t xml:space="preserve">Cultural Continuity vs. Globalization:</w:t>
      </w:r>
      <w:r>
        <w:t xml:space="preserve"> </w:t>
      </w:r>
      <w:r>
        <w:t xml:space="preserve">Parents in</w:t>
      </w:r>
      <w:r>
        <w:t xml:space="preserve"> </w:t>
      </w:r>
      <w:r>
        <w:rPr>
          <w:bCs/>
          <w:b/>
        </w:rPr>
        <w:t xml:space="preserve">Kazakhstan Almaty</w:t>
      </w:r>
      <w:r>
        <w:t xml:space="preserve"> </w:t>
      </w:r>
      <w:r>
        <w:t xml:space="preserve">often hold high expectations for academic rigor rooted in traditional Soviet methodologies, while simultaneously demanding the creativity and soft skills associated with Western education models. The primary teacher must balance these conflicting parental expectations.</w:t>
      </w:r>
    </w:p>
    <w:bookmarkEnd w:id="23"/>
    <w:bookmarkStart w:id="26" w:name="strategic-implementation-the-case-method"/>
    <w:p>
      <w:pPr>
        <w:pStyle w:val="Heading2"/>
      </w:pPr>
      <w:r>
        <w:t xml:space="preserve">4. Strategic Implementation: The Case Method</w:t>
      </w:r>
    </w:p>
    <w:p>
      <w:pPr>
        <w:pStyle w:val="FirstParagraph"/>
      </w:pPr>
      <w:r>
        <w:t xml:space="preserve">To address these challenges, Elena adopted a strategic approach centered on "Active Learning." In the context of</w:t>
      </w:r>
      <w:r>
        <w:t xml:space="preserve"> </w:t>
      </w:r>
      <w:r>
        <w:rPr>
          <w:bCs/>
          <w:b/>
        </w:rPr>
        <w:t xml:space="preserve">Kazakhstan Almaty</w:t>
      </w:r>
      <w:r>
        <w:t xml:space="preserve">, this involves moving away from rote memorization toward project-based learning.</w:t>
      </w:r>
    </w:p>
    <w:bookmarkStart w:id="24" w:name="X4bc5b2ee0349e40e912e03074f067687cd0e1fa"/>
    <w:p>
      <w:pPr>
        <w:pStyle w:val="Heading3"/>
      </w:pPr>
      <w:r>
        <w:t xml:space="preserve">A. Technological Pedagogical Content Knowledge (TPACK)</w:t>
      </w:r>
    </w:p>
    <w:p>
      <w:pPr>
        <w:pStyle w:val="FirstParagraph"/>
      </w:pPr>
      <w:r>
        <w:t xml:space="preserve">Elena integrated interactive whiteboards and tablet-based learning apps into her curriculum. However, technology was not used in isolation. For instance, when teaching geography, students in her class did not just read about the landscapes of Central Asia; they used augmented reality tools to explore local ecosystems. This approach reinforces the relevance of education to their immediate environment in</w:t>
      </w:r>
      <w:r>
        <w:t xml:space="preserve"> </w:t>
      </w:r>
      <w:r>
        <w:rPr>
          <w:bCs/>
          <w:b/>
        </w:rPr>
        <w:t xml:space="preserve">Kazakhstan Almaty</w:t>
      </w:r>
      <w:r>
        <w:t xml:space="preserve">, fostering a sense of local pride while utilizing global technology.</w:t>
      </w:r>
    </w:p>
    <w:bookmarkEnd w:id="24"/>
    <w:bookmarkStart w:id="25" w:name="b.-interdisciplinary-approach"/>
    <w:p>
      <w:pPr>
        <w:pStyle w:val="Heading3"/>
      </w:pPr>
      <w:r>
        <w:t xml:space="preserve">B. Interdisciplinary Approach</w:t>
      </w:r>
    </w:p>
    <w:p>
      <w:pPr>
        <w:pStyle w:val="FirstParagraph"/>
      </w:pPr>
      <w:r>
        <w:t xml:space="preserve">The modern curriculum in Kazakhstan encourages interdisciplinary links. Elena’s lesson plans combined literature and social studies, focusing on local history and folklore. This was crucial for the</w:t>
      </w:r>
      <w:r>
        <w:t xml:space="preserve"> </w:t>
      </w:r>
      <w:r>
        <w:rPr>
          <w:bCs/>
          <w:b/>
        </w:rPr>
        <w:t xml:space="preserve">Teacher Primary</w:t>
      </w:r>
      <w:r>
        <w:t xml:space="preserve">, who needed to maintain cultural relevance while meeting national competency standards. By discussing traditional stories in both Kazakh and Russian, she reinforced bilingualism naturally.</w:t>
      </w:r>
    </w:p>
    <w:bookmarkEnd w:id="25"/>
    <w:bookmarkEnd w:id="26"/>
    <w:bookmarkStart w:id="27" w:name="outcomes-and-impact-analysis"/>
    <w:p>
      <w:pPr>
        <w:pStyle w:val="Heading2"/>
      </w:pPr>
      <w:r>
        <w:t xml:space="preserve">5. Outcomes and Impact Analysis</w:t>
      </w:r>
    </w:p>
    <w:p>
      <w:pPr>
        <w:pStyle w:val="FirstParagraph"/>
      </w:pPr>
      <w:r>
        <w:t xml:space="preserve">The implementation of these strategies yielded measurable improvements over a two-year period within Elena’s school in</w:t>
      </w:r>
      <w:r>
        <w:t xml:space="preserve"> </w:t>
      </w:r>
      <w:r>
        <w:rPr>
          <w:bCs/>
          <w:b/>
        </w:rPr>
        <w:t xml:space="preserve">Kazakhstan Almaty</w:t>
      </w:r>
      <w:r>
        <w:t xml:space="preserve">:</w:t>
      </w:r>
    </w:p>
    <w:p>
      <w:pPr>
        <w:numPr>
          <w:ilvl w:val="0"/>
          <w:numId w:val="1002"/>
        </w:numPr>
        <w:pStyle w:val="Compact"/>
      </w:pPr>
      <w:r>
        <w:rPr>
          <w:bCs/>
          <w:b/>
        </w:rPr>
        <w:t xml:space="preserve">Elevated Student Engagement:</w:t>
      </w:r>
      <w:r>
        <w:t xml:space="preserve"> </w:t>
      </w:r>
      <w:r>
        <w:t xml:space="preserve">Students demonstrated a 30% increase in participation during class discussions. The shift toward active learning allowed shy students, particularly those still acquiring language proficiency, to engage through visual and interactive mediums.</w:t>
      </w:r>
    </w:p>
    <w:p>
      <w:pPr>
        <w:numPr>
          <w:ilvl w:val="0"/>
          <w:numId w:val="1002"/>
        </w:numPr>
        <w:pStyle w:val="Compact"/>
      </w:pPr>
      <w:r>
        <w:rPr>
          <w:bCs/>
          <w:b/>
        </w:rPr>
        <w:t xml:space="preserve">Bilingual Proficiency:</w:t>
      </w:r>
      <w:r>
        <w:t xml:space="preserve"> </w:t>
      </w:r>
      <w:r>
        <w:t xml:space="preserve">By the end of the primary cycle, 95% of Elena’s students could read and write competently in both Kazakh and Russian. The immersive environment created by the</w:t>
      </w:r>
      <w:r>
        <w:t xml:space="preserve"> </w:t>
      </w:r>
      <w:r>
        <w:rPr>
          <w:bCs/>
          <w:b/>
        </w:rPr>
        <w:t xml:space="preserve">Teacher Primary</w:t>
      </w:r>
      <w:r>
        <w:t xml:space="preserve"> </w:t>
      </w:r>
      <w:r>
        <w:t xml:space="preserve">effectively bridged language gaps.</w:t>
      </w:r>
    </w:p>
    <w:p>
      <w:pPr>
        <w:numPr>
          <w:ilvl w:val="0"/>
          <w:numId w:val="1002"/>
        </w:numPr>
        <w:pStyle w:val="Compact"/>
      </w:pPr>
      <w:r>
        <w:rPr>
          <w:bCs/>
          <w:b/>
        </w:rPr>
        <w:t xml:space="preserve">Cultural Competency:</w:t>
      </w:r>
      <w:r>
        <w:t xml:space="preserve"> </w:t>
      </w:r>
      <w:r>
        <w:t xml:space="preserve">Students showed a deeper appreciation for their heritage while developing an openness to global perspectives. This aligns with the broader goals of education in</w:t>
      </w:r>
      <w:r>
        <w:t xml:space="preserve"> </w:t>
      </w:r>
      <w:r>
        <w:rPr>
          <w:bCs/>
          <w:b/>
        </w:rPr>
        <w:t xml:space="preserve">Kazakhstan Almaty</w:t>
      </w:r>
      <w:r>
        <w:t xml:space="preserve">, which aims to produce globally competitive yet locally grounded citizens.</w:t>
      </w:r>
    </w:p>
    <w:bookmarkEnd w:id="27"/>
    <w:bookmarkStart w:id="28" w:name="X8d333e1e9634cbf91c98ddc583be0ae521e85a3"/>
    <w:p>
      <w:pPr>
        <w:pStyle w:val="Heading2"/>
      </w:pPr>
      <w:r>
        <w:t xml:space="preserve">6. Discussion: The Evolving Role of Teacher Primary in Kazakhstan Almaty</w:t>
      </w:r>
    </w:p>
    <w:p>
      <w:pPr>
        <w:pStyle w:val="FirstParagraph"/>
      </w:pPr>
      <w:r>
        <w:t xml:space="preserve">The case study highlights that the definition of a successful</w:t>
      </w:r>
      <w:r>
        <w:t xml:space="preserve"> </w:t>
      </w:r>
      <w:r>
        <w:rPr>
          <w:bCs/>
          <w:b/>
        </w:rPr>
        <w:t xml:space="preserve">Teacher Primary</w:t>
      </w:r>
      <w:r>
        <w:rPr>
          <w:iCs/>
          <w:i/>
        </w:rPr>
        <w:t xml:space="preserve">,</w:t>
      </w:r>
      <w:r>
        <w:t xml:space="preserve">now in</w:t>
      </w:r>
      <w:r>
        <w:t xml:space="preserve"> </w:t>
      </w:r>
      <w:r>
        <w:rPr>
          <w:bCs/>
          <w:b/>
        </w:rPr>
        <w:t xml:space="preserve">Kazakhstan Almaty</w:t>
      </w:r>
      <w:r>
        <w:t xml:space="preserve">, is evolving rapidly. It is no longer sufficient to simply possess subject matter expertise. The modern teacher must be:</w:t>
      </w:r>
    </w:p>
    <w:p>
      <w:pPr>
        <w:numPr>
          <w:ilvl w:val="0"/>
          <w:numId w:val="1003"/>
        </w:numPr>
        <w:pStyle w:val="Compact"/>
      </w:pPr>
      <w:r>
        <w:t xml:space="preserve">A</w:t>
      </w:r>
      <w:r>
        <w:t xml:space="preserve"> </w:t>
      </w:r>
      <w:r>
        <w:rPr>
          <w:bCs/>
          <w:b/>
        </w:rPr>
        <w:t xml:space="preserve">Cultural Mediator:</w:t>
      </w:r>
      <w:r>
        <w:t xml:space="preserve"> </w:t>
      </w:r>
      <w:r>
        <w:t xml:space="preserve">Navigating the complex interplay between traditional values and modern global norms.</w:t>
      </w:r>
    </w:p>
    <w:p>
      <w:pPr>
        <w:numPr>
          <w:ilvl w:val="0"/>
          <w:numId w:val="1003"/>
        </w:numPr>
        <w:pStyle w:val="Compact"/>
      </w:pPr>
      <w:r>
        <w:t xml:space="preserve">A</w:t>
      </w:r>
      <w:r>
        <w:t xml:space="preserve"> </w:t>
      </w:r>
      <w:r>
        <w:rPr>
          <w:bCs/>
          <w:b/>
        </w:rPr>
        <w:t xml:space="preserve">Tech-Savvy Facilitator:</w:t>
      </w:r>
      <w:r>
        <w:t xml:space="preserve"> </w:t>
      </w:r>
      <w:r>
        <w:t xml:space="preserve">Leveraging digital tools to personalize learning for diverse groups.</w:t>
      </w:r>
    </w:p>
    <w:p>
      <w:pPr>
        <w:numPr>
          <w:ilvl w:val="0"/>
          <w:numId w:val="1003"/>
        </w:numPr>
        <w:pStyle w:val="Compact"/>
      </w:pPr>
      <w:r>
        <w:t xml:space="preserve">A</w:t>
      </w:r>
    </w:p>
    <w:p>
      <w:pPr>
        <w:numPr>
          <w:ilvl w:val="0"/>
          <w:numId w:val="1000"/>
        </w:numPr>
        <w:pStyle w:val="Compact"/>
      </w:pPr>
      <w:r>
        <w:t xml:space="preserve">Lifelong Learner:: Continuously adapting to the frequent updates in Kazakhstan’s national educational standards.</w:t>
      </w:r>
    </w:p>
    <w:p>
      <w:pPr>
        <w:pStyle w:val="FirstParagraph"/>
      </w:pPr>
      <w:r>
        <w:t xml:space="preserve">The urban density and resource availability of</w:t>
      </w:r>
      <w:r>
        <w:t xml:space="preserve"> </w:t>
      </w:r>
      <w:r>
        <w:rPr>
          <w:bCs/>
          <w:b/>
        </w:rPr>
        <w:t xml:space="preserve">Kazakhstan Almaty</w:t>
      </w:r>
      <w:r>
        <w:t xml:space="preserve"> </w:t>
      </w:r>
      <w:r>
        <w:t xml:space="preserve">provide an ideal testing ground for these pedagogical innovations. However, the success seen here must be scalable to rural areas across the broader nation. The experiences of primary teachers in this major city serve as a blueprint for national policy.</w:t>
      </w:r>
    </w:p>
    <w:bookmarkEnd w:id="28"/>
    <w:bookmarkStart w:id="30" w:name="conclusion-and-recommendations"/>
    <w:p>
      <w:pPr>
        <w:pStyle w:val="Heading2"/>
      </w:pPr>
      <w:r>
        <w:t xml:space="preserve">7. Conclusion and Recommendations</w:t>
      </w:r>
    </w:p>
    <w:p>
      <w:pPr>
        <w:pStyle w:val="FirstParagraph"/>
      </w:pPr>
      <w:r>
        <w:t xml:space="preserve">This case study demonstrates that when empowered with adequate resources, professional development, and autonomy, a dedicated</w:t>
      </w:r>
      <w:r>
        <w:t xml:space="preserve"> </w:t>
      </w:r>
      <w:r>
        <w:rPr>
          <w:bCs/>
          <w:b/>
        </w:rPr>
        <w:t xml:space="preserve">Teacher Primary</w:t>
      </w:r>
      <w:r>
        <w:rPr>
          <w:iCs/>
          <w:i/>
        </w:rPr>
        <w:t xml:space="preserve">,</w:t>
      </w:r>
      <w:r>
        <w:t xml:space="preserve">n in</w:t>
      </w:r>
      <w:r>
        <w:t xml:space="preserve"> </w:t>
      </w:r>
      <w:r>
        <w:rPr>
          <w:bCs/>
          <w:b/>
        </w:rPr>
        <w:t xml:space="preserve">Kazakhstan Almaty</w:t>
      </w:r>
      <w:r>
        <w:t xml:space="preserve">, can significantly impact student outcomes. The synergy between local cultural strengths and international best practices offers a viable path forward.</w:t>
      </w:r>
    </w:p>
    <w:bookmarkStart w:id="29" w:name="recommendations"/>
    <w:p>
      <w:pPr>
        <w:pStyle w:val="Heading3"/>
      </w:pPr>
      <w:r>
        <w:t xml:space="preserve">Recommendations:</w:t>
      </w:r>
    </w:p>
    <w:p>
      <w:pPr>
        <w:numPr>
          <w:ilvl w:val="0"/>
          <w:numId w:val="1004"/>
        </w:numPr>
        <w:pStyle w:val="Compact"/>
      </w:pPr>
      <w:r>
        <w:rPr>
          <w:bCs/>
          <w:b/>
        </w:rPr>
        <w:t xml:space="preserve">Sustained Professional Development:</w:t>
      </w:r>
      <w:r>
        <w:t xml:space="preserve">The Ministry of Education in Kazakhstan should prioritize ongoing training for primary teachers, specifically focusing on bilingual pedagogy and digital integration.</w:t>
      </w:r>
    </w:p>
    <w:p>
      <w:pPr>
        <w:numPr>
          <w:ilvl w:val="0"/>
          <w:numId w:val="1004"/>
        </w:numPr>
        <w:pStyle w:val="Compact"/>
      </w:pPr>
      <w:r>
        <w:rPr>
          <w:bCs/>
          <w:b/>
        </w:rPr>
        <w:t xml:space="preserve">Cross-School Collaboration:</w:t>
      </w:r>
      <w:r>
        <w:t xml:space="preserve">Create networks where schools in wealthy districts of</w:t>
      </w:r>
      <w:r>
        <w:t xml:space="preserve"> </w:t>
      </w:r>
      <w:r>
        <w:rPr>
          <w:bCs/>
          <w:b/>
        </w:rPr>
        <w:t xml:space="preserve">Kazakhstan Almaty</w:t>
      </w:r>
      <w:r>
        <w:t xml:space="preserve"> </w:t>
      </w:r>
      <w:r>
        <w:t xml:space="preserve">share resources and best practices with under-resourced areas to ensure equity.</w:t>
      </w:r>
    </w:p>
    <w:p>
      <w:pPr>
        <w:numPr>
          <w:ilvl w:val="0"/>
          <w:numId w:val="1004"/>
        </w:numPr>
        <w:pStyle w:val="Compact"/>
      </w:pPr>
      <w:r>
        <w:rPr>
          <w:bCs/>
          <w:b/>
        </w:rPr>
        <w:t xml:space="preserve">Parental Engagement Programs:</w:t>
      </w:r>
      <w:r>
        <w:t xml:space="preserve">Educate parents on the benefits of modern, competency-based learning to bridge the gap between traditional expectations and current pedagogical methods.</w:t>
      </w:r>
    </w:p>
    <w:p>
      <w:pPr>
        <w:pStyle w:val="FirstParagraph"/>
      </w:pPr>
      <w:r>
        <w:t xml:space="preserve">In conclusion, investing in the primary education sector is not merely an academic exercise; it is a strategic imperative for</w:t>
      </w:r>
      <w:r>
        <w:t xml:space="preserve"> </w:t>
      </w:r>
      <w:r>
        <w:rPr>
          <w:bCs/>
          <w:b/>
        </w:rPr>
        <w:t xml:space="preserve">Kazakhstan Almaty</w:t>
      </w:r>
      <w:r>
        <w:t xml:space="preserve">. By supporting its teachers, the city ensures that future generations are equipped to thrive in an increasingly complex world.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Kazakhstan Almaty</dc:title>
  <dc:creator/>
  <dc:language>en</dc:language>
  <cp:keywords/>
  <dcterms:created xsi:type="dcterms:W3CDTF">2026-07-29T03:33:45Z</dcterms:created>
  <dcterms:modified xsi:type="dcterms:W3CDTF">2026-07-29T03:33:45Z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